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9F9D8">
      <w:pPr>
        <w:pStyle w:val="4"/>
        <w:jc w:val="center"/>
        <w:outlineLvl w:val="1"/>
      </w:pPr>
      <w:r>
        <w:rPr>
          <w:rFonts w:ascii="仿宋_GB2312" w:hAnsi="仿宋_GB2312" w:eastAsia="仿宋_GB2312" w:cs="仿宋_GB2312"/>
          <w:b/>
          <w:sz w:val="36"/>
        </w:rPr>
        <w:t>第三章 技术、服务及其他要求</w:t>
      </w:r>
    </w:p>
    <w:p w14:paraId="43323ACF">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6384F03">
      <w:pPr>
        <w:pStyle w:val="4"/>
        <w:jc w:val="left"/>
        <w:outlineLvl w:val="2"/>
      </w:pPr>
      <w:r>
        <w:rPr>
          <w:rFonts w:ascii="仿宋_GB2312" w:hAnsi="仿宋_GB2312" w:eastAsia="仿宋_GB2312" w:cs="仿宋_GB2312"/>
          <w:b/>
          <w:sz w:val="28"/>
        </w:rPr>
        <w:t>3.1.采购内容</w:t>
      </w:r>
    </w:p>
    <w:p w14:paraId="5EAC239E">
      <w:pPr>
        <w:pStyle w:val="4"/>
        <w:jc w:val="left"/>
      </w:pPr>
      <w:r>
        <w:rPr>
          <w:rFonts w:ascii="仿宋_GB2312" w:hAnsi="仿宋_GB2312" w:eastAsia="仿宋_GB2312" w:cs="仿宋_GB2312"/>
        </w:rPr>
        <w:t>采购包1：</w:t>
      </w:r>
    </w:p>
    <w:p w14:paraId="0AAF24A6">
      <w:pPr>
        <w:pStyle w:val="4"/>
        <w:jc w:val="left"/>
      </w:pPr>
      <w:r>
        <w:rPr>
          <w:rFonts w:ascii="仿宋_GB2312" w:hAnsi="仿宋_GB2312" w:eastAsia="仿宋_GB2312" w:cs="仿宋_GB2312"/>
        </w:rPr>
        <w:t>采购包预算金额（元）: 2,000,000.00</w:t>
      </w:r>
    </w:p>
    <w:p w14:paraId="0B5D028E">
      <w:pPr>
        <w:pStyle w:val="4"/>
        <w:jc w:val="left"/>
      </w:pPr>
      <w:r>
        <w:rPr>
          <w:rFonts w:ascii="仿宋_GB2312" w:hAnsi="仿宋_GB2312" w:eastAsia="仿宋_GB2312" w:cs="仿宋_GB2312"/>
        </w:rPr>
        <w:t>采购包最高限价（元）: 2,000,000.00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7A1F23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BE6757F">
            <w:pPr>
              <w:pStyle w:val="4"/>
              <w:jc w:val="center"/>
            </w:pPr>
            <w:r>
              <w:rPr>
                <w:rFonts w:ascii="仿宋_GB2312" w:hAnsi="仿宋_GB2312" w:eastAsia="仿宋_GB2312" w:cs="仿宋_GB2312"/>
              </w:rPr>
              <w:t>序号</w:t>
            </w:r>
          </w:p>
        </w:tc>
        <w:tc>
          <w:tcPr>
            <w:tcW w:w="821" w:type="dxa"/>
          </w:tcPr>
          <w:p w14:paraId="500F7AE2">
            <w:pPr>
              <w:pStyle w:val="4"/>
              <w:jc w:val="center"/>
            </w:pPr>
            <w:r>
              <w:rPr>
                <w:rFonts w:ascii="仿宋_GB2312" w:hAnsi="仿宋_GB2312" w:eastAsia="仿宋_GB2312" w:cs="仿宋_GB2312"/>
              </w:rPr>
              <w:t>采购品目名称</w:t>
            </w:r>
          </w:p>
        </w:tc>
        <w:tc>
          <w:tcPr>
            <w:tcW w:w="821" w:type="dxa"/>
          </w:tcPr>
          <w:p w14:paraId="0D3455A0">
            <w:pPr>
              <w:pStyle w:val="4"/>
              <w:jc w:val="center"/>
            </w:pPr>
            <w:r>
              <w:rPr>
                <w:rFonts w:ascii="仿宋_GB2312" w:hAnsi="仿宋_GB2312" w:eastAsia="仿宋_GB2312" w:cs="仿宋_GB2312"/>
              </w:rPr>
              <w:t>标的名称</w:t>
            </w:r>
          </w:p>
        </w:tc>
        <w:tc>
          <w:tcPr>
            <w:tcW w:w="821" w:type="dxa"/>
          </w:tcPr>
          <w:p w14:paraId="04080612">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907BD4F">
            <w:pPr>
              <w:pStyle w:val="4"/>
              <w:jc w:val="center"/>
            </w:pPr>
            <w:r>
              <w:rPr>
                <w:rFonts w:ascii="仿宋_GB2312" w:hAnsi="仿宋_GB2312" w:eastAsia="仿宋_GB2312" w:cs="仿宋_GB2312"/>
              </w:rPr>
              <w:t>标的金额 （元）</w:t>
            </w:r>
          </w:p>
        </w:tc>
        <w:tc>
          <w:tcPr>
            <w:tcW w:w="821" w:type="dxa"/>
          </w:tcPr>
          <w:p w14:paraId="06025DBF">
            <w:pPr>
              <w:pStyle w:val="4"/>
              <w:jc w:val="center"/>
            </w:pPr>
            <w:r>
              <w:rPr>
                <w:rFonts w:ascii="仿宋_GB2312" w:hAnsi="仿宋_GB2312" w:eastAsia="仿宋_GB2312" w:cs="仿宋_GB2312"/>
              </w:rPr>
              <w:t>所属行业</w:t>
            </w:r>
          </w:p>
        </w:tc>
        <w:tc>
          <w:tcPr>
            <w:tcW w:w="821" w:type="dxa"/>
          </w:tcPr>
          <w:p w14:paraId="5DD161DE">
            <w:pPr>
              <w:pStyle w:val="4"/>
              <w:jc w:val="center"/>
            </w:pPr>
            <w:r>
              <w:rPr>
                <w:rFonts w:ascii="仿宋_GB2312" w:hAnsi="仿宋_GB2312" w:eastAsia="仿宋_GB2312" w:cs="仿宋_GB2312"/>
              </w:rPr>
              <w:t>是否涉及核心产品</w:t>
            </w:r>
          </w:p>
        </w:tc>
        <w:tc>
          <w:tcPr>
            <w:tcW w:w="821" w:type="dxa"/>
          </w:tcPr>
          <w:p w14:paraId="7B5EF8A1">
            <w:pPr>
              <w:pStyle w:val="4"/>
              <w:jc w:val="center"/>
            </w:pPr>
            <w:r>
              <w:rPr>
                <w:rFonts w:ascii="仿宋_GB2312" w:hAnsi="仿宋_GB2312" w:eastAsia="仿宋_GB2312" w:cs="仿宋_GB2312"/>
              </w:rPr>
              <w:t>是否涉及采购进口产品</w:t>
            </w:r>
          </w:p>
        </w:tc>
        <w:tc>
          <w:tcPr>
            <w:tcW w:w="821" w:type="dxa"/>
          </w:tcPr>
          <w:p w14:paraId="135BC10A">
            <w:pPr>
              <w:pStyle w:val="4"/>
              <w:jc w:val="center"/>
            </w:pPr>
            <w:r>
              <w:rPr>
                <w:rFonts w:ascii="仿宋_GB2312" w:hAnsi="仿宋_GB2312" w:eastAsia="仿宋_GB2312" w:cs="仿宋_GB2312"/>
              </w:rPr>
              <w:t>是否涉及强制采购节能产品</w:t>
            </w:r>
          </w:p>
        </w:tc>
        <w:tc>
          <w:tcPr>
            <w:tcW w:w="639" w:type="dxa"/>
          </w:tcPr>
          <w:p w14:paraId="62640712">
            <w:pPr>
              <w:pStyle w:val="4"/>
              <w:jc w:val="center"/>
            </w:pPr>
            <w:r>
              <w:rPr>
                <w:rFonts w:ascii="仿宋_GB2312" w:hAnsi="仿宋_GB2312" w:eastAsia="仿宋_GB2312" w:cs="仿宋_GB2312"/>
              </w:rPr>
              <w:t>是否涉及优先采购节能产品</w:t>
            </w:r>
          </w:p>
        </w:tc>
        <w:tc>
          <w:tcPr>
            <w:tcW w:w="639" w:type="dxa"/>
          </w:tcPr>
          <w:p w14:paraId="005264E4">
            <w:pPr>
              <w:pStyle w:val="4"/>
              <w:jc w:val="center"/>
            </w:pPr>
            <w:r>
              <w:rPr>
                <w:rFonts w:ascii="仿宋_GB2312" w:hAnsi="仿宋_GB2312" w:eastAsia="仿宋_GB2312" w:cs="仿宋_GB2312"/>
              </w:rPr>
              <w:t>是否涉及优先采购环境标志产品</w:t>
            </w:r>
          </w:p>
        </w:tc>
      </w:tr>
      <w:tr w14:paraId="0453E6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5B97CC">
            <w:pPr>
              <w:pStyle w:val="4"/>
              <w:jc w:val="left"/>
            </w:pPr>
            <w:r>
              <w:rPr>
                <w:rFonts w:ascii="仿宋_GB2312" w:hAnsi="仿宋_GB2312" w:eastAsia="仿宋_GB2312" w:cs="仿宋_GB2312"/>
              </w:rPr>
              <w:t>1</w:t>
            </w:r>
          </w:p>
        </w:tc>
        <w:tc>
          <w:tcPr>
            <w:tcW w:w="821" w:type="dxa"/>
          </w:tcPr>
          <w:p w14:paraId="3B6B2F1E">
            <w:pPr>
              <w:pStyle w:val="4"/>
              <w:jc w:val="left"/>
            </w:pPr>
            <w:r>
              <w:rPr>
                <w:rFonts w:ascii="仿宋_GB2312" w:hAnsi="仿宋_GB2312" w:eastAsia="仿宋_GB2312" w:cs="仿宋_GB2312"/>
              </w:rPr>
              <w:t>C99000000 其他服务</w:t>
            </w:r>
          </w:p>
        </w:tc>
        <w:tc>
          <w:tcPr>
            <w:tcW w:w="821" w:type="dxa"/>
          </w:tcPr>
          <w:p w14:paraId="3EC4484A">
            <w:pPr>
              <w:pStyle w:val="4"/>
              <w:jc w:val="left"/>
            </w:pPr>
            <w:r>
              <w:rPr>
                <w:rFonts w:ascii="仿宋_GB2312" w:hAnsi="仿宋_GB2312" w:eastAsia="仿宋_GB2312" w:cs="仿宋_GB2312"/>
              </w:rPr>
              <w:t>2026年日常零星维修服务(自贡校区)</w:t>
            </w:r>
          </w:p>
        </w:tc>
        <w:tc>
          <w:tcPr>
            <w:tcW w:w="821" w:type="dxa"/>
          </w:tcPr>
          <w:p w14:paraId="2B8293B2">
            <w:pPr>
              <w:pStyle w:val="4"/>
              <w:jc w:val="right"/>
            </w:pPr>
            <w:r>
              <w:rPr>
                <w:rFonts w:ascii="仿宋_GB2312" w:hAnsi="仿宋_GB2312" w:eastAsia="仿宋_GB2312" w:cs="仿宋_GB2312"/>
              </w:rPr>
              <w:t>1.00（批）</w:t>
            </w:r>
          </w:p>
        </w:tc>
        <w:tc>
          <w:tcPr>
            <w:tcW w:w="821" w:type="dxa"/>
          </w:tcPr>
          <w:p w14:paraId="7D2C3721">
            <w:pPr>
              <w:pStyle w:val="4"/>
              <w:jc w:val="right"/>
            </w:pPr>
            <w:r>
              <w:rPr>
                <w:rFonts w:ascii="仿宋_GB2312" w:hAnsi="仿宋_GB2312" w:eastAsia="仿宋_GB2312" w:cs="仿宋_GB2312"/>
              </w:rPr>
              <w:t>2,000,000.00</w:t>
            </w:r>
          </w:p>
        </w:tc>
        <w:tc>
          <w:tcPr>
            <w:tcW w:w="821" w:type="dxa"/>
          </w:tcPr>
          <w:p w14:paraId="5DCB52FE">
            <w:pPr>
              <w:pStyle w:val="4"/>
              <w:jc w:val="left"/>
            </w:pPr>
            <w:r>
              <w:rPr>
                <w:rFonts w:ascii="仿宋_GB2312" w:hAnsi="仿宋_GB2312" w:eastAsia="仿宋_GB2312" w:cs="仿宋_GB2312"/>
              </w:rPr>
              <w:t>其他未列明行业</w:t>
            </w:r>
          </w:p>
        </w:tc>
        <w:tc>
          <w:tcPr>
            <w:tcW w:w="821" w:type="dxa"/>
          </w:tcPr>
          <w:p w14:paraId="0B9FACBD">
            <w:pPr>
              <w:pStyle w:val="4"/>
              <w:jc w:val="left"/>
            </w:pPr>
            <w:r>
              <w:rPr>
                <w:rFonts w:ascii="仿宋_GB2312" w:hAnsi="仿宋_GB2312" w:eastAsia="仿宋_GB2312" w:cs="仿宋_GB2312"/>
              </w:rPr>
              <w:t>否</w:t>
            </w:r>
          </w:p>
        </w:tc>
        <w:tc>
          <w:tcPr>
            <w:tcW w:w="821" w:type="dxa"/>
          </w:tcPr>
          <w:p w14:paraId="51206748">
            <w:pPr>
              <w:pStyle w:val="4"/>
              <w:jc w:val="left"/>
            </w:pPr>
            <w:r>
              <w:rPr>
                <w:rFonts w:ascii="仿宋_GB2312" w:hAnsi="仿宋_GB2312" w:eastAsia="仿宋_GB2312" w:cs="仿宋_GB2312"/>
              </w:rPr>
              <w:t>否</w:t>
            </w:r>
          </w:p>
        </w:tc>
        <w:tc>
          <w:tcPr>
            <w:tcW w:w="821" w:type="dxa"/>
          </w:tcPr>
          <w:p w14:paraId="13A4EA5E">
            <w:pPr>
              <w:pStyle w:val="4"/>
              <w:jc w:val="left"/>
            </w:pPr>
            <w:r>
              <w:rPr>
                <w:rFonts w:ascii="仿宋_GB2312" w:hAnsi="仿宋_GB2312" w:eastAsia="仿宋_GB2312" w:cs="仿宋_GB2312"/>
              </w:rPr>
              <w:t>否</w:t>
            </w:r>
          </w:p>
        </w:tc>
        <w:tc>
          <w:tcPr>
            <w:tcW w:w="639" w:type="dxa"/>
          </w:tcPr>
          <w:p w14:paraId="7FC116C6">
            <w:pPr>
              <w:pStyle w:val="4"/>
              <w:jc w:val="left"/>
            </w:pPr>
            <w:r>
              <w:rPr>
                <w:rFonts w:ascii="仿宋_GB2312" w:hAnsi="仿宋_GB2312" w:eastAsia="仿宋_GB2312" w:cs="仿宋_GB2312"/>
              </w:rPr>
              <w:t>否</w:t>
            </w:r>
          </w:p>
        </w:tc>
        <w:tc>
          <w:tcPr>
            <w:tcW w:w="639" w:type="dxa"/>
          </w:tcPr>
          <w:p w14:paraId="6B9F3F0E">
            <w:pPr>
              <w:pStyle w:val="4"/>
              <w:jc w:val="left"/>
            </w:pPr>
            <w:r>
              <w:rPr>
                <w:rFonts w:ascii="仿宋_GB2312" w:hAnsi="仿宋_GB2312" w:eastAsia="仿宋_GB2312" w:cs="仿宋_GB2312"/>
              </w:rPr>
              <w:t>否</w:t>
            </w:r>
          </w:p>
        </w:tc>
      </w:tr>
    </w:tbl>
    <w:p w14:paraId="0CD35AD3">
      <w:pPr>
        <w:pStyle w:val="4"/>
        <w:jc w:val="left"/>
      </w:pPr>
      <w:r>
        <w:rPr>
          <w:rFonts w:ascii="仿宋_GB2312" w:hAnsi="仿宋_GB2312" w:eastAsia="仿宋_GB2312" w:cs="仿宋_GB2312"/>
        </w:rPr>
        <w:t>是否适用本国产品标准：否</w:t>
      </w:r>
    </w:p>
    <w:p w14:paraId="3D55E3F0">
      <w:pPr>
        <w:pStyle w:val="4"/>
        <w:jc w:val="left"/>
      </w:pPr>
      <w:r>
        <w:rPr>
          <w:rFonts w:ascii="仿宋_GB2312" w:hAnsi="仿宋_GB2312" w:eastAsia="仿宋_GB2312" w:cs="仿宋_GB2312"/>
        </w:rPr>
        <w:t>采购包2：</w:t>
      </w:r>
    </w:p>
    <w:p w14:paraId="12F51E69">
      <w:pPr>
        <w:pStyle w:val="4"/>
        <w:jc w:val="left"/>
      </w:pPr>
      <w:r>
        <w:rPr>
          <w:rFonts w:ascii="仿宋_GB2312" w:hAnsi="仿宋_GB2312" w:eastAsia="仿宋_GB2312" w:cs="仿宋_GB2312"/>
        </w:rPr>
        <w:t>采购包预算金额（元）: 1,200,000.00</w:t>
      </w:r>
    </w:p>
    <w:p w14:paraId="38B0536B">
      <w:pPr>
        <w:pStyle w:val="4"/>
        <w:jc w:val="left"/>
      </w:pPr>
      <w:r>
        <w:rPr>
          <w:rFonts w:ascii="仿宋_GB2312" w:hAnsi="仿宋_GB2312" w:eastAsia="仿宋_GB2312" w:cs="仿宋_GB2312"/>
        </w:rPr>
        <w:t>采购包最高限价（元）: 1,200,000.00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303C75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CC5739">
            <w:pPr>
              <w:pStyle w:val="4"/>
              <w:jc w:val="center"/>
            </w:pPr>
            <w:r>
              <w:rPr>
                <w:rFonts w:ascii="仿宋_GB2312" w:hAnsi="仿宋_GB2312" w:eastAsia="仿宋_GB2312" w:cs="仿宋_GB2312"/>
              </w:rPr>
              <w:t>序号</w:t>
            </w:r>
          </w:p>
        </w:tc>
        <w:tc>
          <w:tcPr>
            <w:tcW w:w="821" w:type="dxa"/>
          </w:tcPr>
          <w:p w14:paraId="5B4573F6">
            <w:pPr>
              <w:pStyle w:val="4"/>
              <w:jc w:val="center"/>
            </w:pPr>
            <w:r>
              <w:rPr>
                <w:rFonts w:ascii="仿宋_GB2312" w:hAnsi="仿宋_GB2312" w:eastAsia="仿宋_GB2312" w:cs="仿宋_GB2312"/>
              </w:rPr>
              <w:t>采购品目名称</w:t>
            </w:r>
          </w:p>
        </w:tc>
        <w:tc>
          <w:tcPr>
            <w:tcW w:w="821" w:type="dxa"/>
          </w:tcPr>
          <w:p w14:paraId="25ADBBF2">
            <w:pPr>
              <w:pStyle w:val="4"/>
              <w:jc w:val="center"/>
            </w:pPr>
            <w:r>
              <w:rPr>
                <w:rFonts w:ascii="仿宋_GB2312" w:hAnsi="仿宋_GB2312" w:eastAsia="仿宋_GB2312" w:cs="仿宋_GB2312"/>
              </w:rPr>
              <w:t>标的名称</w:t>
            </w:r>
          </w:p>
        </w:tc>
        <w:tc>
          <w:tcPr>
            <w:tcW w:w="821" w:type="dxa"/>
          </w:tcPr>
          <w:p w14:paraId="08785C0F">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A0AADDC">
            <w:pPr>
              <w:pStyle w:val="4"/>
              <w:jc w:val="center"/>
            </w:pPr>
            <w:r>
              <w:rPr>
                <w:rFonts w:ascii="仿宋_GB2312" w:hAnsi="仿宋_GB2312" w:eastAsia="仿宋_GB2312" w:cs="仿宋_GB2312"/>
              </w:rPr>
              <w:t>标的金额 （元）</w:t>
            </w:r>
          </w:p>
        </w:tc>
        <w:tc>
          <w:tcPr>
            <w:tcW w:w="821" w:type="dxa"/>
          </w:tcPr>
          <w:p w14:paraId="52494E03">
            <w:pPr>
              <w:pStyle w:val="4"/>
              <w:jc w:val="center"/>
            </w:pPr>
            <w:r>
              <w:rPr>
                <w:rFonts w:ascii="仿宋_GB2312" w:hAnsi="仿宋_GB2312" w:eastAsia="仿宋_GB2312" w:cs="仿宋_GB2312"/>
              </w:rPr>
              <w:t>所属行业</w:t>
            </w:r>
          </w:p>
        </w:tc>
        <w:tc>
          <w:tcPr>
            <w:tcW w:w="821" w:type="dxa"/>
          </w:tcPr>
          <w:p w14:paraId="59DB2B27">
            <w:pPr>
              <w:pStyle w:val="4"/>
              <w:jc w:val="center"/>
            </w:pPr>
            <w:r>
              <w:rPr>
                <w:rFonts w:ascii="仿宋_GB2312" w:hAnsi="仿宋_GB2312" w:eastAsia="仿宋_GB2312" w:cs="仿宋_GB2312"/>
              </w:rPr>
              <w:t>是否涉及核心产品</w:t>
            </w:r>
          </w:p>
        </w:tc>
        <w:tc>
          <w:tcPr>
            <w:tcW w:w="821" w:type="dxa"/>
          </w:tcPr>
          <w:p w14:paraId="483C5CAB">
            <w:pPr>
              <w:pStyle w:val="4"/>
              <w:jc w:val="center"/>
            </w:pPr>
            <w:r>
              <w:rPr>
                <w:rFonts w:ascii="仿宋_GB2312" w:hAnsi="仿宋_GB2312" w:eastAsia="仿宋_GB2312" w:cs="仿宋_GB2312"/>
              </w:rPr>
              <w:t>是否涉及采购进口产品</w:t>
            </w:r>
          </w:p>
        </w:tc>
        <w:tc>
          <w:tcPr>
            <w:tcW w:w="821" w:type="dxa"/>
          </w:tcPr>
          <w:p w14:paraId="20295EBE">
            <w:pPr>
              <w:pStyle w:val="4"/>
              <w:jc w:val="center"/>
            </w:pPr>
            <w:r>
              <w:rPr>
                <w:rFonts w:ascii="仿宋_GB2312" w:hAnsi="仿宋_GB2312" w:eastAsia="仿宋_GB2312" w:cs="仿宋_GB2312"/>
              </w:rPr>
              <w:t>是否涉及强制采购节能产品</w:t>
            </w:r>
          </w:p>
        </w:tc>
        <w:tc>
          <w:tcPr>
            <w:tcW w:w="639" w:type="dxa"/>
          </w:tcPr>
          <w:p w14:paraId="5DED1300">
            <w:pPr>
              <w:pStyle w:val="4"/>
              <w:jc w:val="center"/>
            </w:pPr>
            <w:r>
              <w:rPr>
                <w:rFonts w:ascii="仿宋_GB2312" w:hAnsi="仿宋_GB2312" w:eastAsia="仿宋_GB2312" w:cs="仿宋_GB2312"/>
              </w:rPr>
              <w:t>是否涉及优先采购节能产品</w:t>
            </w:r>
          </w:p>
        </w:tc>
        <w:tc>
          <w:tcPr>
            <w:tcW w:w="639" w:type="dxa"/>
          </w:tcPr>
          <w:p w14:paraId="45221216">
            <w:pPr>
              <w:pStyle w:val="4"/>
              <w:jc w:val="center"/>
            </w:pPr>
            <w:r>
              <w:rPr>
                <w:rFonts w:ascii="仿宋_GB2312" w:hAnsi="仿宋_GB2312" w:eastAsia="仿宋_GB2312" w:cs="仿宋_GB2312"/>
              </w:rPr>
              <w:t>是否涉及优先采购环境标志产品</w:t>
            </w:r>
          </w:p>
        </w:tc>
      </w:tr>
      <w:tr w14:paraId="39DC62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DA5F6B">
            <w:pPr>
              <w:pStyle w:val="4"/>
              <w:jc w:val="left"/>
            </w:pPr>
            <w:r>
              <w:rPr>
                <w:rFonts w:ascii="仿宋_GB2312" w:hAnsi="仿宋_GB2312" w:eastAsia="仿宋_GB2312" w:cs="仿宋_GB2312"/>
              </w:rPr>
              <w:t>1</w:t>
            </w:r>
          </w:p>
        </w:tc>
        <w:tc>
          <w:tcPr>
            <w:tcW w:w="821" w:type="dxa"/>
          </w:tcPr>
          <w:p w14:paraId="33FF48A1">
            <w:pPr>
              <w:pStyle w:val="4"/>
              <w:jc w:val="left"/>
            </w:pPr>
            <w:r>
              <w:rPr>
                <w:rFonts w:ascii="仿宋_GB2312" w:hAnsi="仿宋_GB2312" w:eastAsia="仿宋_GB2312" w:cs="仿宋_GB2312"/>
              </w:rPr>
              <w:t>C99000000 其他服务</w:t>
            </w:r>
          </w:p>
        </w:tc>
        <w:tc>
          <w:tcPr>
            <w:tcW w:w="821" w:type="dxa"/>
          </w:tcPr>
          <w:p w14:paraId="1E1DE539">
            <w:pPr>
              <w:pStyle w:val="4"/>
              <w:jc w:val="left"/>
            </w:pPr>
            <w:r>
              <w:rPr>
                <w:rFonts w:ascii="仿宋_GB2312" w:hAnsi="仿宋_GB2312" w:eastAsia="仿宋_GB2312" w:cs="仿宋_GB2312"/>
              </w:rPr>
              <w:t>2026年日常零星维修服务(宜宾校区)</w:t>
            </w:r>
          </w:p>
        </w:tc>
        <w:tc>
          <w:tcPr>
            <w:tcW w:w="821" w:type="dxa"/>
          </w:tcPr>
          <w:p w14:paraId="3A00E333">
            <w:pPr>
              <w:pStyle w:val="4"/>
              <w:jc w:val="right"/>
            </w:pPr>
            <w:r>
              <w:rPr>
                <w:rFonts w:ascii="仿宋_GB2312" w:hAnsi="仿宋_GB2312" w:eastAsia="仿宋_GB2312" w:cs="仿宋_GB2312"/>
              </w:rPr>
              <w:t>1.00（批）</w:t>
            </w:r>
          </w:p>
        </w:tc>
        <w:tc>
          <w:tcPr>
            <w:tcW w:w="821" w:type="dxa"/>
          </w:tcPr>
          <w:p w14:paraId="7CD7C290">
            <w:pPr>
              <w:pStyle w:val="4"/>
              <w:jc w:val="right"/>
            </w:pPr>
            <w:r>
              <w:rPr>
                <w:rFonts w:ascii="仿宋_GB2312" w:hAnsi="仿宋_GB2312" w:eastAsia="仿宋_GB2312" w:cs="仿宋_GB2312"/>
              </w:rPr>
              <w:t>1,200,000.00</w:t>
            </w:r>
          </w:p>
        </w:tc>
        <w:tc>
          <w:tcPr>
            <w:tcW w:w="821" w:type="dxa"/>
          </w:tcPr>
          <w:p w14:paraId="1AD7AFFA">
            <w:pPr>
              <w:pStyle w:val="4"/>
              <w:jc w:val="left"/>
            </w:pPr>
            <w:r>
              <w:rPr>
                <w:rFonts w:ascii="仿宋_GB2312" w:hAnsi="仿宋_GB2312" w:eastAsia="仿宋_GB2312" w:cs="仿宋_GB2312"/>
              </w:rPr>
              <w:t>其他未列明行业</w:t>
            </w:r>
          </w:p>
        </w:tc>
        <w:tc>
          <w:tcPr>
            <w:tcW w:w="821" w:type="dxa"/>
          </w:tcPr>
          <w:p w14:paraId="12FF8B29">
            <w:pPr>
              <w:pStyle w:val="4"/>
              <w:jc w:val="left"/>
            </w:pPr>
            <w:r>
              <w:rPr>
                <w:rFonts w:ascii="仿宋_GB2312" w:hAnsi="仿宋_GB2312" w:eastAsia="仿宋_GB2312" w:cs="仿宋_GB2312"/>
              </w:rPr>
              <w:t>否</w:t>
            </w:r>
          </w:p>
        </w:tc>
        <w:tc>
          <w:tcPr>
            <w:tcW w:w="821" w:type="dxa"/>
          </w:tcPr>
          <w:p w14:paraId="124EB324">
            <w:pPr>
              <w:pStyle w:val="4"/>
              <w:jc w:val="left"/>
            </w:pPr>
            <w:r>
              <w:rPr>
                <w:rFonts w:ascii="仿宋_GB2312" w:hAnsi="仿宋_GB2312" w:eastAsia="仿宋_GB2312" w:cs="仿宋_GB2312"/>
              </w:rPr>
              <w:t>否</w:t>
            </w:r>
          </w:p>
        </w:tc>
        <w:tc>
          <w:tcPr>
            <w:tcW w:w="821" w:type="dxa"/>
          </w:tcPr>
          <w:p w14:paraId="56733DF7">
            <w:pPr>
              <w:pStyle w:val="4"/>
              <w:jc w:val="left"/>
            </w:pPr>
            <w:r>
              <w:rPr>
                <w:rFonts w:ascii="仿宋_GB2312" w:hAnsi="仿宋_GB2312" w:eastAsia="仿宋_GB2312" w:cs="仿宋_GB2312"/>
              </w:rPr>
              <w:t>否</w:t>
            </w:r>
          </w:p>
        </w:tc>
        <w:tc>
          <w:tcPr>
            <w:tcW w:w="639" w:type="dxa"/>
          </w:tcPr>
          <w:p w14:paraId="1D4A01FC">
            <w:pPr>
              <w:pStyle w:val="4"/>
              <w:jc w:val="left"/>
            </w:pPr>
            <w:r>
              <w:rPr>
                <w:rFonts w:ascii="仿宋_GB2312" w:hAnsi="仿宋_GB2312" w:eastAsia="仿宋_GB2312" w:cs="仿宋_GB2312"/>
              </w:rPr>
              <w:t>否</w:t>
            </w:r>
          </w:p>
        </w:tc>
        <w:tc>
          <w:tcPr>
            <w:tcW w:w="639" w:type="dxa"/>
          </w:tcPr>
          <w:p w14:paraId="635E495B">
            <w:pPr>
              <w:pStyle w:val="4"/>
              <w:jc w:val="left"/>
            </w:pPr>
            <w:r>
              <w:rPr>
                <w:rFonts w:ascii="仿宋_GB2312" w:hAnsi="仿宋_GB2312" w:eastAsia="仿宋_GB2312" w:cs="仿宋_GB2312"/>
              </w:rPr>
              <w:t>否</w:t>
            </w:r>
          </w:p>
        </w:tc>
      </w:tr>
    </w:tbl>
    <w:p w14:paraId="6C478ED0">
      <w:pPr>
        <w:pStyle w:val="4"/>
        <w:jc w:val="left"/>
      </w:pPr>
      <w:r>
        <w:rPr>
          <w:rFonts w:ascii="仿宋_GB2312" w:hAnsi="仿宋_GB2312" w:eastAsia="仿宋_GB2312" w:cs="仿宋_GB2312"/>
        </w:rPr>
        <w:t>是否适用本国产品标准：否</w:t>
      </w:r>
    </w:p>
    <w:p w14:paraId="5E334BFA">
      <w:pPr>
        <w:pStyle w:val="4"/>
        <w:jc w:val="left"/>
        <w:outlineLvl w:val="3"/>
      </w:pPr>
      <w:r>
        <w:rPr>
          <w:rFonts w:ascii="仿宋_GB2312" w:hAnsi="仿宋_GB2312" w:eastAsia="仿宋_GB2312" w:cs="仿宋_GB2312"/>
          <w:b/>
          <w:sz w:val="24"/>
        </w:rPr>
        <w:t>报价要求</w:t>
      </w:r>
    </w:p>
    <w:p w14:paraId="622BA34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42A83F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1219FE3">
            <w:pPr>
              <w:pStyle w:val="4"/>
              <w:jc w:val="center"/>
            </w:pPr>
            <w:r>
              <w:rPr>
                <w:rFonts w:ascii="仿宋_GB2312" w:hAnsi="仿宋_GB2312" w:eastAsia="仿宋_GB2312" w:cs="仿宋_GB2312"/>
              </w:rPr>
              <w:t>序号</w:t>
            </w:r>
          </w:p>
        </w:tc>
        <w:tc>
          <w:tcPr>
            <w:tcW w:w="1759" w:type="dxa"/>
          </w:tcPr>
          <w:p w14:paraId="01719F66">
            <w:pPr>
              <w:pStyle w:val="4"/>
              <w:jc w:val="center"/>
            </w:pPr>
            <w:r>
              <w:rPr>
                <w:rFonts w:ascii="仿宋_GB2312" w:hAnsi="仿宋_GB2312" w:eastAsia="仿宋_GB2312" w:cs="仿宋_GB2312"/>
              </w:rPr>
              <w:t>报价内容</w:t>
            </w:r>
          </w:p>
        </w:tc>
        <w:tc>
          <w:tcPr>
            <w:tcW w:w="977" w:type="dxa"/>
          </w:tcPr>
          <w:p w14:paraId="4FD3589B">
            <w:pPr>
              <w:pStyle w:val="4"/>
              <w:jc w:val="center"/>
            </w:pPr>
            <w:r>
              <w:rPr>
                <w:rFonts w:ascii="仿宋_GB2312" w:hAnsi="仿宋_GB2312" w:eastAsia="仿宋_GB2312" w:cs="仿宋_GB2312"/>
              </w:rPr>
              <w:t>计量单位</w:t>
            </w:r>
          </w:p>
        </w:tc>
        <w:tc>
          <w:tcPr>
            <w:tcW w:w="977" w:type="dxa"/>
          </w:tcPr>
          <w:p w14:paraId="2F294520">
            <w:pPr>
              <w:pStyle w:val="4"/>
              <w:jc w:val="center"/>
            </w:pPr>
            <w:r>
              <w:rPr>
                <w:rFonts w:ascii="仿宋_GB2312" w:hAnsi="仿宋_GB2312" w:eastAsia="仿宋_GB2312" w:cs="仿宋_GB2312"/>
              </w:rPr>
              <w:t>报价单位</w:t>
            </w:r>
          </w:p>
        </w:tc>
        <w:tc>
          <w:tcPr>
            <w:tcW w:w="1466" w:type="dxa"/>
          </w:tcPr>
          <w:p w14:paraId="4DE6D602">
            <w:pPr>
              <w:pStyle w:val="4"/>
              <w:jc w:val="center"/>
            </w:pPr>
            <w:r>
              <w:rPr>
                <w:rFonts w:ascii="仿宋_GB2312" w:hAnsi="仿宋_GB2312" w:eastAsia="仿宋_GB2312" w:cs="仿宋_GB2312"/>
              </w:rPr>
              <w:t>最高限价</w:t>
            </w:r>
          </w:p>
        </w:tc>
        <w:tc>
          <w:tcPr>
            <w:tcW w:w="977" w:type="dxa"/>
          </w:tcPr>
          <w:p w14:paraId="2CFA3A9A">
            <w:pPr>
              <w:pStyle w:val="4"/>
              <w:jc w:val="center"/>
            </w:pPr>
            <w:r>
              <w:rPr>
                <w:rFonts w:ascii="仿宋_GB2312" w:hAnsi="仿宋_GB2312" w:eastAsia="仿宋_GB2312" w:cs="仿宋_GB2312"/>
              </w:rPr>
              <w:t>价款形式</w:t>
            </w:r>
          </w:p>
        </w:tc>
        <w:tc>
          <w:tcPr>
            <w:tcW w:w="1466" w:type="dxa"/>
          </w:tcPr>
          <w:p w14:paraId="0ACF8205">
            <w:pPr>
              <w:pStyle w:val="4"/>
              <w:jc w:val="center"/>
            </w:pPr>
            <w:r>
              <w:rPr>
                <w:rFonts w:ascii="仿宋_GB2312" w:hAnsi="仿宋_GB2312" w:eastAsia="仿宋_GB2312" w:cs="仿宋_GB2312"/>
              </w:rPr>
              <w:t>报价说明</w:t>
            </w:r>
          </w:p>
        </w:tc>
      </w:tr>
      <w:tr w14:paraId="048EE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4D32EF1F">
            <w:pPr>
              <w:pStyle w:val="4"/>
              <w:jc w:val="center"/>
            </w:pPr>
            <w:r>
              <w:rPr>
                <w:rFonts w:ascii="仿宋_GB2312" w:hAnsi="仿宋_GB2312" w:eastAsia="仿宋_GB2312" w:cs="仿宋_GB2312"/>
              </w:rPr>
              <w:t>1</w:t>
            </w:r>
          </w:p>
        </w:tc>
        <w:tc>
          <w:tcPr>
            <w:tcW w:w="1759" w:type="dxa"/>
          </w:tcPr>
          <w:p w14:paraId="62E54A8F">
            <w:pPr>
              <w:pStyle w:val="4"/>
              <w:jc w:val="center"/>
            </w:pPr>
            <w:r>
              <w:rPr>
                <w:rFonts w:ascii="仿宋_GB2312" w:hAnsi="仿宋_GB2312" w:eastAsia="仿宋_GB2312" w:cs="仿宋_GB2312"/>
              </w:rPr>
              <w:t>2026年日常零星维修服务(自贡校区)</w:t>
            </w:r>
          </w:p>
        </w:tc>
        <w:tc>
          <w:tcPr>
            <w:tcW w:w="977" w:type="dxa"/>
          </w:tcPr>
          <w:p w14:paraId="7ED68E5E">
            <w:pPr>
              <w:pStyle w:val="4"/>
              <w:jc w:val="center"/>
            </w:pPr>
            <w:r>
              <w:rPr>
                <w:rFonts w:ascii="仿宋_GB2312" w:hAnsi="仿宋_GB2312" w:eastAsia="仿宋_GB2312" w:cs="仿宋_GB2312"/>
              </w:rPr>
              <w:t>批</w:t>
            </w:r>
          </w:p>
        </w:tc>
        <w:tc>
          <w:tcPr>
            <w:tcW w:w="977" w:type="dxa"/>
          </w:tcPr>
          <w:p w14:paraId="164A2AE1">
            <w:pPr>
              <w:pStyle w:val="4"/>
              <w:jc w:val="center"/>
            </w:pPr>
            <w:r>
              <w:rPr>
                <w:rFonts w:ascii="仿宋_GB2312" w:hAnsi="仿宋_GB2312" w:eastAsia="仿宋_GB2312" w:cs="仿宋_GB2312"/>
              </w:rPr>
              <w:t>%</w:t>
            </w:r>
          </w:p>
        </w:tc>
        <w:tc>
          <w:tcPr>
            <w:tcW w:w="1466" w:type="dxa"/>
          </w:tcPr>
          <w:p w14:paraId="7734F077">
            <w:pPr>
              <w:pStyle w:val="4"/>
              <w:jc w:val="center"/>
            </w:pPr>
            <w:r>
              <w:rPr>
                <w:rFonts w:ascii="仿宋_GB2312" w:hAnsi="仿宋_GB2312" w:eastAsia="仿宋_GB2312" w:cs="仿宋_GB2312"/>
              </w:rPr>
              <w:t>不设定</w:t>
            </w:r>
          </w:p>
        </w:tc>
        <w:tc>
          <w:tcPr>
            <w:tcW w:w="977" w:type="dxa"/>
          </w:tcPr>
          <w:p w14:paraId="00E7D62A">
            <w:pPr>
              <w:pStyle w:val="4"/>
              <w:jc w:val="center"/>
            </w:pPr>
            <w:r>
              <w:rPr>
                <w:rFonts w:ascii="仿宋_GB2312" w:hAnsi="仿宋_GB2312" w:eastAsia="仿宋_GB2312" w:cs="仿宋_GB2312"/>
              </w:rPr>
              <w:t>百分比</w:t>
            </w:r>
          </w:p>
        </w:tc>
        <w:tc>
          <w:tcPr>
            <w:tcW w:w="1466" w:type="dxa"/>
          </w:tcPr>
          <w:p w14:paraId="7206DA03">
            <w:pPr>
              <w:pStyle w:val="4"/>
              <w:jc w:val="left"/>
            </w:pPr>
            <w:r>
              <w:rPr>
                <w:rFonts w:ascii="仿宋_GB2312" w:hAnsi="仿宋_GB2312" w:eastAsia="仿宋_GB2312" w:cs="仿宋_GB2312"/>
              </w:rPr>
              <w:t>1.本项目采用结算率的报价形式，0%＜结算率≦100%。 2.供应商的报价是本次采购的所有维修服务项目的计算结算暂定价的基础上按统一结算率结算。以磋商文件规定的计算结算暂定价确定方式作为基准，结算价格=计算结算暂定价×成交结算率+市场价询价材料价。 3.此项只是对结算率进行解释，实际结算按照“技术参数与性能指标”中的“10.结算要求”进行计算。</w:t>
            </w:r>
          </w:p>
        </w:tc>
      </w:tr>
    </w:tbl>
    <w:p w14:paraId="15F6850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477E91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460FD6D3">
            <w:pPr>
              <w:pStyle w:val="4"/>
              <w:jc w:val="center"/>
            </w:pPr>
            <w:r>
              <w:rPr>
                <w:rFonts w:ascii="仿宋_GB2312" w:hAnsi="仿宋_GB2312" w:eastAsia="仿宋_GB2312" w:cs="仿宋_GB2312"/>
              </w:rPr>
              <w:t>序号</w:t>
            </w:r>
          </w:p>
        </w:tc>
        <w:tc>
          <w:tcPr>
            <w:tcW w:w="1759" w:type="dxa"/>
          </w:tcPr>
          <w:p w14:paraId="4A830EED">
            <w:pPr>
              <w:pStyle w:val="4"/>
              <w:jc w:val="center"/>
            </w:pPr>
            <w:r>
              <w:rPr>
                <w:rFonts w:ascii="仿宋_GB2312" w:hAnsi="仿宋_GB2312" w:eastAsia="仿宋_GB2312" w:cs="仿宋_GB2312"/>
              </w:rPr>
              <w:t>报价内容</w:t>
            </w:r>
          </w:p>
        </w:tc>
        <w:tc>
          <w:tcPr>
            <w:tcW w:w="977" w:type="dxa"/>
          </w:tcPr>
          <w:p w14:paraId="231E7F6E">
            <w:pPr>
              <w:pStyle w:val="4"/>
              <w:jc w:val="center"/>
            </w:pPr>
            <w:r>
              <w:rPr>
                <w:rFonts w:ascii="仿宋_GB2312" w:hAnsi="仿宋_GB2312" w:eastAsia="仿宋_GB2312" w:cs="仿宋_GB2312"/>
              </w:rPr>
              <w:t>计量单位</w:t>
            </w:r>
          </w:p>
        </w:tc>
        <w:tc>
          <w:tcPr>
            <w:tcW w:w="977" w:type="dxa"/>
          </w:tcPr>
          <w:p w14:paraId="18A6F4EE">
            <w:pPr>
              <w:pStyle w:val="4"/>
              <w:jc w:val="center"/>
            </w:pPr>
            <w:r>
              <w:rPr>
                <w:rFonts w:ascii="仿宋_GB2312" w:hAnsi="仿宋_GB2312" w:eastAsia="仿宋_GB2312" w:cs="仿宋_GB2312"/>
              </w:rPr>
              <w:t>报价单位</w:t>
            </w:r>
          </w:p>
        </w:tc>
        <w:tc>
          <w:tcPr>
            <w:tcW w:w="1466" w:type="dxa"/>
          </w:tcPr>
          <w:p w14:paraId="351BAE77">
            <w:pPr>
              <w:pStyle w:val="4"/>
              <w:jc w:val="center"/>
            </w:pPr>
            <w:r>
              <w:rPr>
                <w:rFonts w:ascii="仿宋_GB2312" w:hAnsi="仿宋_GB2312" w:eastAsia="仿宋_GB2312" w:cs="仿宋_GB2312"/>
              </w:rPr>
              <w:t>最高限价</w:t>
            </w:r>
          </w:p>
        </w:tc>
        <w:tc>
          <w:tcPr>
            <w:tcW w:w="977" w:type="dxa"/>
          </w:tcPr>
          <w:p w14:paraId="75A41C29">
            <w:pPr>
              <w:pStyle w:val="4"/>
              <w:jc w:val="center"/>
            </w:pPr>
            <w:r>
              <w:rPr>
                <w:rFonts w:ascii="仿宋_GB2312" w:hAnsi="仿宋_GB2312" w:eastAsia="仿宋_GB2312" w:cs="仿宋_GB2312"/>
              </w:rPr>
              <w:t>价款形式</w:t>
            </w:r>
          </w:p>
        </w:tc>
        <w:tc>
          <w:tcPr>
            <w:tcW w:w="1466" w:type="dxa"/>
          </w:tcPr>
          <w:p w14:paraId="67EED8B8">
            <w:pPr>
              <w:pStyle w:val="4"/>
              <w:jc w:val="center"/>
            </w:pPr>
            <w:r>
              <w:rPr>
                <w:rFonts w:ascii="仿宋_GB2312" w:hAnsi="仿宋_GB2312" w:eastAsia="仿宋_GB2312" w:cs="仿宋_GB2312"/>
              </w:rPr>
              <w:t>报价说明</w:t>
            </w:r>
          </w:p>
        </w:tc>
      </w:tr>
      <w:tr w14:paraId="2A6887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5FBABB1B">
            <w:pPr>
              <w:pStyle w:val="4"/>
              <w:jc w:val="center"/>
            </w:pPr>
            <w:r>
              <w:rPr>
                <w:rFonts w:ascii="仿宋_GB2312" w:hAnsi="仿宋_GB2312" w:eastAsia="仿宋_GB2312" w:cs="仿宋_GB2312"/>
              </w:rPr>
              <w:t>1</w:t>
            </w:r>
          </w:p>
        </w:tc>
        <w:tc>
          <w:tcPr>
            <w:tcW w:w="1759" w:type="dxa"/>
          </w:tcPr>
          <w:p w14:paraId="1018BC3B">
            <w:pPr>
              <w:pStyle w:val="4"/>
              <w:jc w:val="center"/>
            </w:pPr>
            <w:r>
              <w:rPr>
                <w:rFonts w:ascii="仿宋_GB2312" w:hAnsi="仿宋_GB2312" w:eastAsia="仿宋_GB2312" w:cs="仿宋_GB2312"/>
              </w:rPr>
              <w:t>2026年日常零星维修服务(宜宾校区)</w:t>
            </w:r>
          </w:p>
        </w:tc>
        <w:tc>
          <w:tcPr>
            <w:tcW w:w="977" w:type="dxa"/>
          </w:tcPr>
          <w:p w14:paraId="193C5A65">
            <w:pPr>
              <w:pStyle w:val="4"/>
              <w:jc w:val="center"/>
            </w:pPr>
            <w:r>
              <w:rPr>
                <w:rFonts w:ascii="仿宋_GB2312" w:hAnsi="仿宋_GB2312" w:eastAsia="仿宋_GB2312" w:cs="仿宋_GB2312"/>
              </w:rPr>
              <w:t>批</w:t>
            </w:r>
          </w:p>
        </w:tc>
        <w:tc>
          <w:tcPr>
            <w:tcW w:w="977" w:type="dxa"/>
          </w:tcPr>
          <w:p w14:paraId="52CAF24A">
            <w:pPr>
              <w:pStyle w:val="4"/>
              <w:jc w:val="center"/>
            </w:pPr>
            <w:r>
              <w:rPr>
                <w:rFonts w:ascii="仿宋_GB2312" w:hAnsi="仿宋_GB2312" w:eastAsia="仿宋_GB2312" w:cs="仿宋_GB2312"/>
              </w:rPr>
              <w:t>%</w:t>
            </w:r>
          </w:p>
        </w:tc>
        <w:tc>
          <w:tcPr>
            <w:tcW w:w="1466" w:type="dxa"/>
          </w:tcPr>
          <w:p w14:paraId="2C42972D">
            <w:pPr>
              <w:pStyle w:val="4"/>
              <w:jc w:val="center"/>
            </w:pPr>
            <w:r>
              <w:rPr>
                <w:rFonts w:ascii="仿宋_GB2312" w:hAnsi="仿宋_GB2312" w:eastAsia="仿宋_GB2312" w:cs="仿宋_GB2312"/>
              </w:rPr>
              <w:t>不设定</w:t>
            </w:r>
          </w:p>
        </w:tc>
        <w:tc>
          <w:tcPr>
            <w:tcW w:w="977" w:type="dxa"/>
          </w:tcPr>
          <w:p w14:paraId="15D5822B">
            <w:pPr>
              <w:pStyle w:val="4"/>
              <w:jc w:val="center"/>
            </w:pPr>
            <w:r>
              <w:rPr>
                <w:rFonts w:ascii="仿宋_GB2312" w:hAnsi="仿宋_GB2312" w:eastAsia="仿宋_GB2312" w:cs="仿宋_GB2312"/>
              </w:rPr>
              <w:t>百分比</w:t>
            </w:r>
          </w:p>
        </w:tc>
        <w:tc>
          <w:tcPr>
            <w:tcW w:w="1466" w:type="dxa"/>
          </w:tcPr>
          <w:p w14:paraId="3A6E3CCA">
            <w:pPr>
              <w:pStyle w:val="4"/>
              <w:jc w:val="left"/>
            </w:pPr>
            <w:r>
              <w:rPr>
                <w:rFonts w:ascii="仿宋_GB2312" w:hAnsi="仿宋_GB2312" w:eastAsia="仿宋_GB2312" w:cs="仿宋_GB2312"/>
              </w:rPr>
              <w:t>1.本项目采用结算率的报价形式，0%＜结算率≦100%。 2.供应商的报价是本次采购的所有维修服务项目的计算结算暂定价的基础上按统一结算率结算。以磋商文件规定的计算结算暂定价确定方式作为基准，结算价格=计算结算暂定价×成交结算率+市场价询价材料价。 3.此项只是对结算率进行解释，实际结算按照“技术参数与性能指标”中的“10.结算要求”进行计算。</w:t>
            </w:r>
          </w:p>
        </w:tc>
      </w:tr>
    </w:tbl>
    <w:p w14:paraId="17D7FFBE">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31357A69">
      <w:pPr>
        <w:pStyle w:val="4"/>
        <w:jc w:val="left"/>
        <w:outlineLvl w:val="3"/>
      </w:pPr>
      <w:r>
        <w:rPr>
          <w:rFonts w:ascii="仿宋_GB2312" w:hAnsi="仿宋_GB2312" w:eastAsia="仿宋_GB2312" w:cs="仿宋_GB2312"/>
          <w:b/>
          <w:sz w:val="24"/>
        </w:rPr>
        <w:t>本项目涉及核心产品：</w:t>
      </w:r>
    </w:p>
    <w:p w14:paraId="397095D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32897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7164E2">
            <w:pPr>
              <w:pStyle w:val="4"/>
              <w:jc w:val="center"/>
            </w:pPr>
            <w:r>
              <w:rPr>
                <w:rFonts w:ascii="仿宋_GB2312" w:hAnsi="仿宋_GB2312" w:eastAsia="仿宋_GB2312" w:cs="仿宋_GB2312"/>
              </w:rPr>
              <w:t>序号</w:t>
            </w:r>
          </w:p>
        </w:tc>
        <w:tc>
          <w:tcPr>
            <w:tcW w:w="2492" w:type="dxa"/>
          </w:tcPr>
          <w:p w14:paraId="0C16837E">
            <w:pPr>
              <w:pStyle w:val="4"/>
              <w:jc w:val="center"/>
            </w:pPr>
            <w:r>
              <w:rPr>
                <w:rFonts w:ascii="仿宋_GB2312" w:hAnsi="仿宋_GB2312" w:eastAsia="仿宋_GB2312" w:cs="仿宋_GB2312"/>
              </w:rPr>
              <w:t>采购品目名称</w:t>
            </w:r>
          </w:p>
        </w:tc>
        <w:tc>
          <w:tcPr>
            <w:tcW w:w="2492" w:type="dxa"/>
          </w:tcPr>
          <w:p w14:paraId="06958AE9">
            <w:pPr>
              <w:pStyle w:val="4"/>
              <w:jc w:val="center"/>
            </w:pPr>
            <w:r>
              <w:rPr>
                <w:rFonts w:ascii="仿宋_GB2312" w:hAnsi="仿宋_GB2312" w:eastAsia="仿宋_GB2312" w:cs="仿宋_GB2312"/>
              </w:rPr>
              <w:t>标的名称</w:t>
            </w:r>
          </w:p>
        </w:tc>
        <w:tc>
          <w:tcPr>
            <w:tcW w:w="2492" w:type="dxa"/>
          </w:tcPr>
          <w:p w14:paraId="05F63272">
            <w:pPr>
              <w:pStyle w:val="4"/>
              <w:jc w:val="center"/>
            </w:pPr>
            <w:r>
              <w:rPr>
                <w:rFonts w:ascii="仿宋_GB2312" w:hAnsi="仿宋_GB2312" w:eastAsia="仿宋_GB2312" w:cs="仿宋_GB2312"/>
              </w:rPr>
              <w:t>产品名称</w:t>
            </w:r>
          </w:p>
        </w:tc>
      </w:tr>
      <w:tr w14:paraId="5A97AE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23DE89D">
            <w:pPr>
              <w:pStyle w:val="4"/>
              <w:jc w:val="center"/>
            </w:pPr>
            <w:r>
              <w:rPr>
                <w:rFonts w:ascii="仿宋_GB2312" w:hAnsi="仿宋_GB2312" w:eastAsia="仿宋_GB2312" w:cs="仿宋_GB2312"/>
              </w:rPr>
              <w:t>不涉及</w:t>
            </w:r>
          </w:p>
        </w:tc>
      </w:tr>
    </w:tbl>
    <w:p w14:paraId="0AF7E762">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A48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CFB074">
            <w:pPr>
              <w:pStyle w:val="4"/>
              <w:jc w:val="center"/>
            </w:pPr>
            <w:r>
              <w:rPr>
                <w:rFonts w:ascii="仿宋_GB2312" w:hAnsi="仿宋_GB2312" w:eastAsia="仿宋_GB2312" w:cs="仿宋_GB2312"/>
              </w:rPr>
              <w:t>序号</w:t>
            </w:r>
          </w:p>
        </w:tc>
        <w:tc>
          <w:tcPr>
            <w:tcW w:w="2492" w:type="dxa"/>
          </w:tcPr>
          <w:p w14:paraId="7EF766C8">
            <w:pPr>
              <w:pStyle w:val="4"/>
              <w:jc w:val="center"/>
            </w:pPr>
            <w:r>
              <w:rPr>
                <w:rFonts w:ascii="仿宋_GB2312" w:hAnsi="仿宋_GB2312" w:eastAsia="仿宋_GB2312" w:cs="仿宋_GB2312"/>
              </w:rPr>
              <w:t>采购品目名称</w:t>
            </w:r>
          </w:p>
        </w:tc>
        <w:tc>
          <w:tcPr>
            <w:tcW w:w="2492" w:type="dxa"/>
          </w:tcPr>
          <w:p w14:paraId="4CC3F360">
            <w:pPr>
              <w:pStyle w:val="4"/>
              <w:jc w:val="center"/>
            </w:pPr>
            <w:r>
              <w:rPr>
                <w:rFonts w:ascii="仿宋_GB2312" w:hAnsi="仿宋_GB2312" w:eastAsia="仿宋_GB2312" w:cs="仿宋_GB2312"/>
              </w:rPr>
              <w:t>标的名称</w:t>
            </w:r>
          </w:p>
        </w:tc>
        <w:tc>
          <w:tcPr>
            <w:tcW w:w="2492" w:type="dxa"/>
          </w:tcPr>
          <w:p w14:paraId="416C8C35">
            <w:pPr>
              <w:pStyle w:val="4"/>
              <w:jc w:val="center"/>
            </w:pPr>
            <w:r>
              <w:rPr>
                <w:rFonts w:ascii="仿宋_GB2312" w:hAnsi="仿宋_GB2312" w:eastAsia="仿宋_GB2312" w:cs="仿宋_GB2312"/>
              </w:rPr>
              <w:t>产品名称</w:t>
            </w:r>
          </w:p>
        </w:tc>
      </w:tr>
      <w:tr w14:paraId="458C89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F2E11B">
            <w:pPr>
              <w:pStyle w:val="4"/>
              <w:jc w:val="center"/>
            </w:pPr>
            <w:r>
              <w:rPr>
                <w:rFonts w:ascii="仿宋_GB2312" w:hAnsi="仿宋_GB2312" w:eastAsia="仿宋_GB2312" w:cs="仿宋_GB2312"/>
              </w:rPr>
              <w:t>不涉及</w:t>
            </w:r>
          </w:p>
        </w:tc>
      </w:tr>
    </w:tbl>
    <w:p w14:paraId="396AC251">
      <w:pPr>
        <w:pStyle w:val="4"/>
        <w:ind w:firstLine="480"/>
        <w:jc w:val="left"/>
      </w:pPr>
      <w:r>
        <w:rPr>
          <w:rFonts w:ascii="仿宋_GB2312" w:hAnsi="仿宋_GB2312" w:eastAsia="仿宋_GB2312" w:cs="仿宋_GB2312"/>
        </w:rPr>
        <w:t>注：涉及核心产品的，具体评审规定见第五章。</w:t>
      </w:r>
    </w:p>
    <w:p w14:paraId="2E8C3B8A">
      <w:pPr>
        <w:pStyle w:val="4"/>
        <w:jc w:val="left"/>
        <w:outlineLvl w:val="3"/>
      </w:pPr>
      <w:r>
        <w:rPr>
          <w:rFonts w:ascii="仿宋_GB2312" w:hAnsi="仿宋_GB2312" w:eastAsia="仿宋_GB2312" w:cs="仿宋_GB2312"/>
          <w:b/>
          <w:sz w:val="24"/>
        </w:rPr>
        <w:t>本项目涉及采购进口产品：</w:t>
      </w:r>
    </w:p>
    <w:p w14:paraId="5229910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5ABB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AB8150">
            <w:pPr>
              <w:pStyle w:val="4"/>
              <w:jc w:val="center"/>
            </w:pPr>
            <w:r>
              <w:rPr>
                <w:rFonts w:ascii="仿宋_GB2312" w:hAnsi="仿宋_GB2312" w:eastAsia="仿宋_GB2312" w:cs="仿宋_GB2312"/>
              </w:rPr>
              <w:t>序号</w:t>
            </w:r>
          </w:p>
        </w:tc>
        <w:tc>
          <w:tcPr>
            <w:tcW w:w="2492" w:type="dxa"/>
          </w:tcPr>
          <w:p w14:paraId="10E42523">
            <w:pPr>
              <w:pStyle w:val="4"/>
              <w:jc w:val="center"/>
            </w:pPr>
            <w:r>
              <w:rPr>
                <w:rFonts w:ascii="仿宋_GB2312" w:hAnsi="仿宋_GB2312" w:eastAsia="仿宋_GB2312" w:cs="仿宋_GB2312"/>
              </w:rPr>
              <w:t>采购品目名称</w:t>
            </w:r>
          </w:p>
        </w:tc>
        <w:tc>
          <w:tcPr>
            <w:tcW w:w="2492" w:type="dxa"/>
          </w:tcPr>
          <w:p w14:paraId="14CDC4F3">
            <w:pPr>
              <w:pStyle w:val="4"/>
              <w:jc w:val="center"/>
            </w:pPr>
            <w:r>
              <w:rPr>
                <w:rFonts w:ascii="仿宋_GB2312" w:hAnsi="仿宋_GB2312" w:eastAsia="仿宋_GB2312" w:cs="仿宋_GB2312"/>
              </w:rPr>
              <w:t>标的名称</w:t>
            </w:r>
          </w:p>
        </w:tc>
        <w:tc>
          <w:tcPr>
            <w:tcW w:w="2492" w:type="dxa"/>
          </w:tcPr>
          <w:p w14:paraId="78964041">
            <w:pPr>
              <w:pStyle w:val="4"/>
              <w:jc w:val="center"/>
            </w:pPr>
            <w:r>
              <w:rPr>
                <w:rFonts w:ascii="仿宋_GB2312" w:hAnsi="仿宋_GB2312" w:eastAsia="仿宋_GB2312" w:cs="仿宋_GB2312"/>
              </w:rPr>
              <w:t>产品名称</w:t>
            </w:r>
          </w:p>
        </w:tc>
      </w:tr>
      <w:tr w14:paraId="050F10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89C0212">
            <w:pPr>
              <w:pStyle w:val="4"/>
              <w:jc w:val="center"/>
            </w:pPr>
            <w:r>
              <w:rPr>
                <w:rFonts w:ascii="仿宋_GB2312" w:hAnsi="仿宋_GB2312" w:eastAsia="仿宋_GB2312" w:cs="仿宋_GB2312"/>
              </w:rPr>
              <w:t>不涉及</w:t>
            </w:r>
          </w:p>
        </w:tc>
      </w:tr>
    </w:tbl>
    <w:p w14:paraId="0ACAD18F">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9381D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16E5C96">
            <w:pPr>
              <w:pStyle w:val="4"/>
              <w:jc w:val="center"/>
            </w:pPr>
            <w:r>
              <w:rPr>
                <w:rFonts w:ascii="仿宋_GB2312" w:hAnsi="仿宋_GB2312" w:eastAsia="仿宋_GB2312" w:cs="仿宋_GB2312"/>
              </w:rPr>
              <w:t>序号</w:t>
            </w:r>
          </w:p>
        </w:tc>
        <w:tc>
          <w:tcPr>
            <w:tcW w:w="2492" w:type="dxa"/>
          </w:tcPr>
          <w:p w14:paraId="7ABD6694">
            <w:pPr>
              <w:pStyle w:val="4"/>
              <w:jc w:val="center"/>
            </w:pPr>
            <w:r>
              <w:rPr>
                <w:rFonts w:ascii="仿宋_GB2312" w:hAnsi="仿宋_GB2312" w:eastAsia="仿宋_GB2312" w:cs="仿宋_GB2312"/>
              </w:rPr>
              <w:t>采购品目名称</w:t>
            </w:r>
          </w:p>
        </w:tc>
        <w:tc>
          <w:tcPr>
            <w:tcW w:w="2492" w:type="dxa"/>
          </w:tcPr>
          <w:p w14:paraId="18234A05">
            <w:pPr>
              <w:pStyle w:val="4"/>
              <w:jc w:val="center"/>
            </w:pPr>
            <w:r>
              <w:rPr>
                <w:rFonts w:ascii="仿宋_GB2312" w:hAnsi="仿宋_GB2312" w:eastAsia="仿宋_GB2312" w:cs="仿宋_GB2312"/>
              </w:rPr>
              <w:t>标的名称</w:t>
            </w:r>
          </w:p>
        </w:tc>
        <w:tc>
          <w:tcPr>
            <w:tcW w:w="2492" w:type="dxa"/>
          </w:tcPr>
          <w:p w14:paraId="088C7C8E">
            <w:pPr>
              <w:pStyle w:val="4"/>
              <w:jc w:val="center"/>
            </w:pPr>
            <w:r>
              <w:rPr>
                <w:rFonts w:ascii="仿宋_GB2312" w:hAnsi="仿宋_GB2312" w:eastAsia="仿宋_GB2312" w:cs="仿宋_GB2312"/>
              </w:rPr>
              <w:t>产品名称</w:t>
            </w:r>
          </w:p>
        </w:tc>
      </w:tr>
      <w:tr w14:paraId="56BAA5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9168F7E">
            <w:pPr>
              <w:pStyle w:val="4"/>
              <w:jc w:val="center"/>
            </w:pPr>
            <w:r>
              <w:rPr>
                <w:rFonts w:ascii="仿宋_GB2312" w:hAnsi="仿宋_GB2312" w:eastAsia="仿宋_GB2312" w:cs="仿宋_GB2312"/>
              </w:rPr>
              <w:t>不涉及</w:t>
            </w:r>
          </w:p>
        </w:tc>
      </w:tr>
    </w:tbl>
    <w:p w14:paraId="745209C5">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3761A5BE">
      <w:pPr>
        <w:pStyle w:val="4"/>
        <w:jc w:val="left"/>
        <w:outlineLvl w:val="3"/>
      </w:pPr>
      <w:r>
        <w:rPr>
          <w:rFonts w:ascii="仿宋_GB2312" w:hAnsi="仿宋_GB2312" w:eastAsia="仿宋_GB2312" w:cs="仿宋_GB2312"/>
          <w:b/>
          <w:sz w:val="24"/>
        </w:rPr>
        <w:t>本项目涉及强制采购节能产品：</w:t>
      </w:r>
    </w:p>
    <w:p w14:paraId="463D91A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82E9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E2984C">
            <w:pPr>
              <w:pStyle w:val="4"/>
              <w:jc w:val="center"/>
            </w:pPr>
            <w:r>
              <w:rPr>
                <w:rFonts w:ascii="仿宋_GB2312" w:hAnsi="仿宋_GB2312" w:eastAsia="仿宋_GB2312" w:cs="仿宋_GB2312"/>
              </w:rPr>
              <w:t>序号</w:t>
            </w:r>
          </w:p>
        </w:tc>
        <w:tc>
          <w:tcPr>
            <w:tcW w:w="2492" w:type="dxa"/>
          </w:tcPr>
          <w:p w14:paraId="30F0B50F">
            <w:pPr>
              <w:pStyle w:val="4"/>
              <w:jc w:val="center"/>
            </w:pPr>
            <w:r>
              <w:rPr>
                <w:rFonts w:ascii="仿宋_GB2312" w:hAnsi="仿宋_GB2312" w:eastAsia="仿宋_GB2312" w:cs="仿宋_GB2312"/>
              </w:rPr>
              <w:t>采购品目名称</w:t>
            </w:r>
          </w:p>
        </w:tc>
        <w:tc>
          <w:tcPr>
            <w:tcW w:w="2492" w:type="dxa"/>
          </w:tcPr>
          <w:p w14:paraId="5CCB36EE">
            <w:pPr>
              <w:pStyle w:val="4"/>
              <w:jc w:val="center"/>
            </w:pPr>
            <w:r>
              <w:rPr>
                <w:rFonts w:ascii="仿宋_GB2312" w:hAnsi="仿宋_GB2312" w:eastAsia="仿宋_GB2312" w:cs="仿宋_GB2312"/>
              </w:rPr>
              <w:t>标的名称</w:t>
            </w:r>
          </w:p>
        </w:tc>
        <w:tc>
          <w:tcPr>
            <w:tcW w:w="2492" w:type="dxa"/>
          </w:tcPr>
          <w:p w14:paraId="0EF16310">
            <w:pPr>
              <w:pStyle w:val="4"/>
              <w:jc w:val="center"/>
            </w:pPr>
            <w:r>
              <w:rPr>
                <w:rFonts w:ascii="仿宋_GB2312" w:hAnsi="仿宋_GB2312" w:eastAsia="仿宋_GB2312" w:cs="仿宋_GB2312"/>
              </w:rPr>
              <w:t>产品名称</w:t>
            </w:r>
          </w:p>
        </w:tc>
      </w:tr>
      <w:tr w14:paraId="47C0A8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378F453">
            <w:pPr>
              <w:pStyle w:val="4"/>
              <w:jc w:val="center"/>
            </w:pPr>
            <w:r>
              <w:rPr>
                <w:rFonts w:ascii="仿宋_GB2312" w:hAnsi="仿宋_GB2312" w:eastAsia="仿宋_GB2312" w:cs="仿宋_GB2312"/>
              </w:rPr>
              <w:t>不涉及</w:t>
            </w:r>
          </w:p>
        </w:tc>
      </w:tr>
    </w:tbl>
    <w:p w14:paraId="76F19A3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A933A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40677E">
            <w:pPr>
              <w:pStyle w:val="4"/>
              <w:jc w:val="center"/>
            </w:pPr>
            <w:r>
              <w:rPr>
                <w:rFonts w:ascii="仿宋_GB2312" w:hAnsi="仿宋_GB2312" w:eastAsia="仿宋_GB2312" w:cs="仿宋_GB2312"/>
              </w:rPr>
              <w:t>序号</w:t>
            </w:r>
          </w:p>
        </w:tc>
        <w:tc>
          <w:tcPr>
            <w:tcW w:w="2492" w:type="dxa"/>
          </w:tcPr>
          <w:p w14:paraId="712678BF">
            <w:pPr>
              <w:pStyle w:val="4"/>
              <w:jc w:val="center"/>
            </w:pPr>
            <w:r>
              <w:rPr>
                <w:rFonts w:ascii="仿宋_GB2312" w:hAnsi="仿宋_GB2312" w:eastAsia="仿宋_GB2312" w:cs="仿宋_GB2312"/>
              </w:rPr>
              <w:t>采购品目名称</w:t>
            </w:r>
          </w:p>
        </w:tc>
        <w:tc>
          <w:tcPr>
            <w:tcW w:w="2492" w:type="dxa"/>
          </w:tcPr>
          <w:p w14:paraId="67964541">
            <w:pPr>
              <w:pStyle w:val="4"/>
              <w:jc w:val="center"/>
            </w:pPr>
            <w:r>
              <w:rPr>
                <w:rFonts w:ascii="仿宋_GB2312" w:hAnsi="仿宋_GB2312" w:eastAsia="仿宋_GB2312" w:cs="仿宋_GB2312"/>
              </w:rPr>
              <w:t>标的名称</w:t>
            </w:r>
          </w:p>
        </w:tc>
        <w:tc>
          <w:tcPr>
            <w:tcW w:w="2492" w:type="dxa"/>
          </w:tcPr>
          <w:p w14:paraId="084AD6F6">
            <w:pPr>
              <w:pStyle w:val="4"/>
              <w:jc w:val="center"/>
            </w:pPr>
            <w:r>
              <w:rPr>
                <w:rFonts w:ascii="仿宋_GB2312" w:hAnsi="仿宋_GB2312" w:eastAsia="仿宋_GB2312" w:cs="仿宋_GB2312"/>
              </w:rPr>
              <w:t>产品名称</w:t>
            </w:r>
          </w:p>
        </w:tc>
      </w:tr>
      <w:tr w14:paraId="428D0A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673711F">
            <w:pPr>
              <w:pStyle w:val="4"/>
              <w:jc w:val="center"/>
            </w:pPr>
            <w:r>
              <w:rPr>
                <w:rFonts w:ascii="仿宋_GB2312" w:hAnsi="仿宋_GB2312" w:eastAsia="仿宋_GB2312" w:cs="仿宋_GB2312"/>
              </w:rPr>
              <w:t>不涉及</w:t>
            </w:r>
          </w:p>
        </w:tc>
      </w:tr>
    </w:tbl>
    <w:p w14:paraId="4AC999B1">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057342FA">
      <w:pPr>
        <w:pStyle w:val="4"/>
        <w:jc w:val="left"/>
      </w:pPr>
      <w:r>
        <w:rPr>
          <w:rFonts w:ascii="仿宋_GB2312" w:hAnsi="仿宋_GB2312" w:eastAsia="仿宋_GB2312" w:cs="仿宋_GB2312"/>
          <w:b/>
        </w:rPr>
        <w:t>本项目涉及优先采购节能产品：</w:t>
      </w:r>
    </w:p>
    <w:p w14:paraId="64700BF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04ED3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988C8E">
            <w:pPr>
              <w:pStyle w:val="4"/>
              <w:jc w:val="center"/>
            </w:pPr>
            <w:r>
              <w:rPr>
                <w:rFonts w:ascii="仿宋_GB2312" w:hAnsi="仿宋_GB2312" w:eastAsia="仿宋_GB2312" w:cs="仿宋_GB2312"/>
              </w:rPr>
              <w:t>序号</w:t>
            </w:r>
          </w:p>
        </w:tc>
        <w:tc>
          <w:tcPr>
            <w:tcW w:w="2492" w:type="dxa"/>
          </w:tcPr>
          <w:p w14:paraId="7719F73E">
            <w:pPr>
              <w:pStyle w:val="4"/>
              <w:jc w:val="center"/>
            </w:pPr>
            <w:r>
              <w:rPr>
                <w:rFonts w:ascii="仿宋_GB2312" w:hAnsi="仿宋_GB2312" w:eastAsia="仿宋_GB2312" w:cs="仿宋_GB2312"/>
              </w:rPr>
              <w:t>采购品目名称</w:t>
            </w:r>
          </w:p>
        </w:tc>
        <w:tc>
          <w:tcPr>
            <w:tcW w:w="2492" w:type="dxa"/>
          </w:tcPr>
          <w:p w14:paraId="48984D61">
            <w:pPr>
              <w:pStyle w:val="4"/>
              <w:jc w:val="center"/>
            </w:pPr>
            <w:r>
              <w:rPr>
                <w:rFonts w:ascii="仿宋_GB2312" w:hAnsi="仿宋_GB2312" w:eastAsia="仿宋_GB2312" w:cs="仿宋_GB2312"/>
              </w:rPr>
              <w:t>标的名称</w:t>
            </w:r>
          </w:p>
        </w:tc>
        <w:tc>
          <w:tcPr>
            <w:tcW w:w="2492" w:type="dxa"/>
          </w:tcPr>
          <w:p w14:paraId="68868F08">
            <w:pPr>
              <w:pStyle w:val="4"/>
              <w:jc w:val="center"/>
            </w:pPr>
            <w:r>
              <w:rPr>
                <w:rFonts w:ascii="仿宋_GB2312" w:hAnsi="仿宋_GB2312" w:eastAsia="仿宋_GB2312" w:cs="仿宋_GB2312"/>
              </w:rPr>
              <w:t>产品名称</w:t>
            </w:r>
          </w:p>
        </w:tc>
      </w:tr>
      <w:tr w14:paraId="455BCE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C30BD0">
            <w:pPr>
              <w:pStyle w:val="4"/>
              <w:jc w:val="center"/>
            </w:pPr>
            <w:r>
              <w:rPr>
                <w:rFonts w:ascii="仿宋_GB2312" w:hAnsi="仿宋_GB2312" w:eastAsia="仿宋_GB2312" w:cs="仿宋_GB2312"/>
              </w:rPr>
              <w:t>不涉及</w:t>
            </w:r>
          </w:p>
        </w:tc>
      </w:tr>
    </w:tbl>
    <w:p w14:paraId="26CFB0F4">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E9245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3FC1E0">
            <w:pPr>
              <w:pStyle w:val="4"/>
              <w:jc w:val="center"/>
            </w:pPr>
            <w:r>
              <w:rPr>
                <w:rFonts w:ascii="仿宋_GB2312" w:hAnsi="仿宋_GB2312" w:eastAsia="仿宋_GB2312" w:cs="仿宋_GB2312"/>
              </w:rPr>
              <w:t>序号</w:t>
            </w:r>
          </w:p>
        </w:tc>
        <w:tc>
          <w:tcPr>
            <w:tcW w:w="2492" w:type="dxa"/>
          </w:tcPr>
          <w:p w14:paraId="4D830862">
            <w:pPr>
              <w:pStyle w:val="4"/>
              <w:jc w:val="center"/>
            </w:pPr>
            <w:r>
              <w:rPr>
                <w:rFonts w:ascii="仿宋_GB2312" w:hAnsi="仿宋_GB2312" w:eastAsia="仿宋_GB2312" w:cs="仿宋_GB2312"/>
              </w:rPr>
              <w:t>采购品目名称</w:t>
            </w:r>
          </w:p>
        </w:tc>
        <w:tc>
          <w:tcPr>
            <w:tcW w:w="2492" w:type="dxa"/>
          </w:tcPr>
          <w:p w14:paraId="580C836D">
            <w:pPr>
              <w:pStyle w:val="4"/>
              <w:jc w:val="center"/>
            </w:pPr>
            <w:r>
              <w:rPr>
                <w:rFonts w:ascii="仿宋_GB2312" w:hAnsi="仿宋_GB2312" w:eastAsia="仿宋_GB2312" w:cs="仿宋_GB2312"/>
              </w:rPr>
              <w:t>标的名称</w:t>
            </w:r>
          </w:p>
        </w:tc>
        <w:tc>
          <w:tcPr>
            <w:tcW w:w="2492" w:type="dxa"/>
          </w:tcPr>
          <w:p w14:paraId="34D0C6D5">
            <w:pPr>
              <w:pStyle w:val="4"/>
              <w:jc w:val="center"/>
            </w:pPr>
            <w:r>
              <w:rPr>
                <w:rFonts w:ascii="仿宋_GB2312" w:hAnsi="仿宋_GB2312" w:eastAsia="仿宋_GB2312" w:cs="仿宋_GB2312"/>
              </w:rPr>
              <w:t>产品名称</w:t>
            </w:r>
          </w:p>
        </w:tc>
      </w:tr>
      <w:tr w14:paraId="721AF1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8CEE563">
            <w:pPr>
              <w:pStyle w:val="4"/>
              <w:jc w:val="center"/>
            </w:pPr>
            <w:r>
              <w:rPr>
                <w:rFonts w:ascii="仿宋_GB2312" w:hAnsi="仿宋_GB2312" w:eastAsia="仿宋_GB2312" w:cs="仿宋_GB2312"/>
              </w:rPr>
              <w:t>不涉及</w:t>
            </w:r>
          </w:p>
        </w:tc>
      </w:tr>
    </w:tbl>
    <w:p w14:paraId="2681E0A7">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5DE14216">
      <w:pPr>
        <w:pStyle w:val="4"/>
        <w:jc w:val="left"/>
        <w:outlineLvl w:val="3"/>
      </w:pPr>
      <w:r>
        <w:rPr>
          <w:rFonts w:ascii="仿宋_GB2312" w:hAnsi="仿宋_GB2312" w:eastAsia="仿宋_GB2312" w:cs="仿宋_GB2312"/>
          <w:b/>
          <w:sz w:val="24"/>
        </w:rPr>
        <w:t>本项目涉及优先采购环境标志产品：</w:t>
      </w:r>
    </w:p>
    <w:p w14:paraId="65AEAB5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CBDF8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6BC4C2">
            <w:pPr>
              <w:pStyle w:val="4"/>
              <w:jc w:val="center"/>
            </w:pPr>
            <w:r>
              <w:rPr>
                <w:rFonts w:ascii="仿宋_GB2312" w:hAnsi="仿宋_GB2312" w:eastAsia="仿宋_GB2312" w:cs="仿宋_GB2312"/>
              </w:rPr>
              <w:t>序号</w:t>
            </w:r>
          </w:p>
        </w:tc>
        <w:tc>
          <w:tcPr>
            <w:tcW w:w="2492" w:type="dxa"/>
          </w:tcPr>
          <w:p w14:paraId="2DCBFB6E">
            <w:pPr>
              <w:pStyle w:val="4"/>
              <w:jc w:val="center"/>
            </w:pPr>
            <w:r>
              <w:rPr>
                <w:rFonts w:ascii="仿宋_GB2312" w:hAnsi="仿宋_GB2312" w:eastAsia="仿宋_GB2312" w:cs="仿宋_GB2312"/>
              </w:rPr>
              <w:t>采购品目名称</w:t>
            </w:r>
          </w:p>
        </w:tc>
        <w:tc>
          <w:tcPr>
            <w:tcW w:w="2492" w:type="dxa"/>
          </w:tcPr>
          <w:p w14:paraId="1FA3396F">
            <w:pPr>
              <w:pStyle w:val="4"/>
              <w:jc w:val="center"/>
            </w:pPr>
            <w:r>
              <w:rPr>
                <w:rFonts w:ascii="仿宋_GB2312" w:hAnsi="仿宋_GB2312" w:eastAsia="仿宋_GB2312" w:cs="仿宋_GB2312"/>
              </w:rPr>
              <w:t>标的名称</w:t>
            </w:r>
          </w:p>
        </w:tc>
        <w:tc>
          <w:tcPr>
            <w:tcW w:w="2492" w:type="dxa"/>
          </w:tcPr>
          <w:p w14:paraId="1735FF6A">
            <w:pPr>
              <w:pStyle w:val="4"/>
              <w:jc w:val="center"/>
            </w:pPr>
            <w:r>
              <w:rPr>
                <w:rFonts w:ascii="仿宋_GB2312" w:hAnsi="仿宋_GB2312" w:eastAsia="仿宋_GB2312" w:cs="仿宋_GB2312"/>
              </w:rPr>
              <w:t>产品名称</w:t>
            </w:r>
          </w:p>
        </w:tc>
      </w:tr>
      <w:tr w14:paraId="24E8A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8BF713">
            <w:pPr>
              <w:pStyle w:val="4"/>
              <w:jc w:val="center"/>
            </w:pPr>
            <w:r>
              <w:rPr>
                <w:rFonts w:ascii="仿宋_GB2312" w:hAnsi="仿宋_GB2312" w:eastAsia="仿宋_GB2312" w:cs="仿宋_GB2312"/>
              </w:rPr>
              <w:t>不涉及</w:t>
            </w:r>
          </w:p>
        </w:tc>
      </w:tr>
    </w:tbl>
    <w:p w14:paraId="6CA3BC1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8C352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22E425">
            <w:pPr>
              <w:pStyle w:val="4"/>
              <w:jc w:val="center"/>
            </w:pPr>
            <w:r>
              <w:rPr>
                <w:rFonts w:ascii="仿宋_GB2312" w:hAnsi="仿宋_GB2312" w:eastAsia="仿宋_GB2312" w:cs="仿宋_GB2312"/>
              </w:rPr>
              <w:t>序号</w:t>
            </w:r>
          </w:p>
        </w:tc>
        <w:tc>
          <w:tcPr>
            <w:tcW w:w="2492" w:type="dxa"/>
          </w:tcPr>
          <w:p w14:paraId="0FA037C3">
            <w:pPr>
              <w:pStyle w:val="4"/>
              <w:jc w:val="center"/>
            </w:pPr>
            <w:r>
              <w:rPr>
                <w:rFonts w:ascii="仿宋_GB2312" w:hAnsi="仿宋_GB2312" w:eastAsia="仿宋_GB2312" w:cs="仿宋_GB2312"/>
              </w:rPr>
              <w:t>采购品目名称</w:t>
            </w:r>
          </w:p>
        </w:tc>
        <w:tc>
          <w:tcPr>
            <w:tcW w:w="2492" w:type="dxa"/>
          </w:tcPr>
          <w:p w14:paraId="1182763F">
            <w:pPr>
              <w:pStyle w:val="4"/>
              <w:jc w:val="center"/>
            </w:pPr>
            <w:r>
              <w:rPr>
                <w:rFonts w:ascii="仿宋_GB2312" w:hAnsi="仿宋_GB2312" w:eastAsia="仿宋_GB2312" w:cs="仿宋_GB2312"/>
              </w:rPr>
              <w:t>标的名称</w:t>
            </w:r>
          </w:p>
        </w:tc>
        <w:tc>
          <w:tcPr>
            <w:tcW w:w="2492" w:type="dxa"/>
          </w:tcPr>
          <w:p w14:paraId="6FE0D1A6">
            <w:pPr>
              <w:pStyle w:val="4"/>
              <w:jc w:val="center"/>
            </w:pPr>
            <w:r>
              <w:rPr>
                <w:rFonts w:ascii="仿宋_GB2312" w:hAnsi="仿宋_GB2312" w:eastAsia="仿宋_GB2312" w:cs="仿宋_GB2312"/>
              </w:rPr>
              <w:t>产品名称</w:t>
            </w:r>
          </w:p>
        </w:tc>
      </w:tr>
      <w:tr w14:paraId="3FD0A2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536CD70">
            <w:pPr>
              <w:pStyle w:val="4"/>
              <w:jc w:val="center"/>
            </w:pPr>
            <w:r>
              <w:rPr>
                <w:rFonts w:ascii="仿宋_GB2312" w:hAnsi="仿宋_GB2312" w:eastAsia="仿宋_GB2312" w:cs="仿宋_GB2312"/>
              </w:rPr>
              <w:t>不涉及</w:t>
            </w:r>
          </w:p>
        </w:tc>
      </w:tr>
    </w:tbl>
    <w:p w14:paraId="2501C184">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73F429CC">
      <w:pPr>
        <w:pStyle w:val="4"/>
        <w:jc w:val="left"/>
        <w:outlineLvl w:val="2"/>
      </w:pPr>
      <w:r>
        <w:rPr>
          <w:rFonts w:ascii="仿宋_GB2312" w:hAnsi="仿宋_GB2312" w:eastAsia="仿宋_GB2312" w:cs="仿宋_GB2312"/>
          <w:b/>
          <w:sz w:val="28"/>
        </w:rPr>
        <w:t>3.2.技术要求</w:t>
      </w:r>
    </w:p>
    <w:p w14:paraId="49D96B2C">
      <w:pPr>
        <w:pStyle w:val="4"/>
        <w:jc w:val="left"/>
      </w:pPr>
      <w:r>
        <w:rPr>
          <w:rFonts w:ascii="仿宋_GB2312" w:hAnsi="仿宋_GB2312" w:eastAsia="仿宋_GB2312" w:cs="仿宋_GB2312"/>
        </w:rPr>
        <w:t>采购包1：</w:t>
      </w:r>
    </w:p>
    <w:p w14:paraId="05505B6F">
      <w:pPr>
        <w:pStyle w:val="4"/>
        <w:jc w:val="left"/>
      </w:pPr>
      <w:r>
        <w:rPr>
          <w:rFonts w:ascii="仿宋_GB2312" w:hAnsi="仿宋_GB2312" w:eastAsia="仿宋_GB2312" w:cs="仿宋_GB2312"/>
        </w:rPr>
        <w:t>标的名称：2026年日常零星维修服务(自贡校区)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E8B2A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969D78">
            <w:pPr>
              <w:pStyle w:val="4"/>
              <w:jc w:val="center"/>
            </w:pPr>
            <w:r>
              <w:rPr>
                <w:rFonts w:ascii="仿宋_GB2312" w:hAnsi="仿宋_GB2312" w:eastAsia="仿宋_GB2312" w:cs="仿宋_GB2312"/>
              </w:rPr>
              <w:t>序号</w:t>
            </w:r>
          </w:p>
        </w:tc>
        <w:tc>
          <w:tcPr>
            <w:tcW w:w="581" w:type="dxa"/>
          </w:tcPr>
          <w:p w14:paraId="439DEA48">
            <w:pPr>
              <w:pStyle w:val="4"/>
              <w:jc w:val="center"/>
            </w:pPr>
            <w:r>
              <w:rPr>
                <w:rFonts w:ascii="仿宋_GB2312" w:hAnsi="仿宋_GB2312" w:eastAsia="仿宋_GB2312" w:cs="仿宋_GB2312"/>
              </w:rPr>
              <w:t>符号标识</w:t>
            </w:r>
          </w:p>
        </w:tc>
        <w:tc>
          <w:tcPr>
            <w:tcW w:w="1495" w:type="dxa"/>
          </w:tcPr>
          <w:p w14:paraId="539199BC">
            <w:pPr>
              <w:pStyle w:val="4"/>
              <w:jc w:val="center"/>
            </w:pPr>
            <w:r>
              <w:rPr>
                <w:rFonts w:ascii="仿宋_GB2312" w:hAnsi="仿宋_GB2312" w:eastAsia="仿宋_GB2312" w:cs="仿宋_GB2312"/>
              </w:rPr>
              <w:t>技术要求名称</w:t>
            </w:r>
          </w:p>
        </w:tc>
        <w:tc>
          <w:tcPr>
            <w:tcW w:w="5814" w:type="dxa"/>
          </w:tcPr>
          <w:p w14:paraId="3AEC6D8E">
            <w:pPr>
              <w:pStyle w:val="4"/>
              <w:jc w:val="center"/>
            </w:pPr>
            <w:r>
              <w:rPr>
                <w:rFonts w:ascii="仿宋_GB2312" w:hAnsi="仿宋_GB2312" w:eastAsia="仿宋_GB2312" w:cs="仿宋_GB2312"/>
              </w:rPr>
              <w:t>技术参数与性能指标</w:t>
            </w:r>
          </w:p>
        </w:tc>
      </w:tr>
      <w:tr w14:paraId="56FDBE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83FE2D">
            <w:pPr>
              <w:pStyle w:val="4"/>
              <w:jc w:val="center"/>
            </w:pPr>
            <w:r>
              <w:rPr>
                <w:rFonts w:ascii="仿宋_GB2312" w:hAnsi="仿宋_GB2312" w:eastAsia="仿宋_GB2312" w:cs="仿宋_GB2312"/>
              </w:rPr>
              <w:t>1</w:t>
            </w:r>
          </w:p>
        </w:tc>
        <w:tc>
          <w:tcPr>
            <w:tcW w:w="581" w:type="dxa"/>
          </w:tcPr>
          <w:p w14:paraId="7D966136"/>
        </w:tc>
        <w:tc>
          <w:tcPr>
            <w:tcW w:w="1495" w:type="dxa"/>
          </w:tcPr>
          <w:p w14:paraId="5D88065E">
            <w:pPr>
              <w:pStyle w:val="4"/>
              <w:jc w:val="left"/>
            </w:pPr>
            <w:r>
              <w:rPr>
                <w:rFonts w:ascii="仿宋_GB2312" w:hAnsi="仿宋_GB2312" w:eastAsia="仿宋_GB2312" w:cs="仿宋_GB2312"/>
              </w:rPr>
              <w:t>服务要求</w:t>
            </w:r>
          </w:p>
        </w:tc>
        <w:tc>
          <w:tcPr>
            <w:tcW w:w="5814" w:type="dxa"/>
          </w:tcPr>
          <w:p w14:paraId="29E0D051">
            <w:pPr>
              <w:pStyle w:val="4"/>
              <w:jc w:val="both"/>
            </w:pPr>
            <w:r>
              <w:rPr>
                <w:rFonts w:ascii="仿宋_GB2312" w:hAnsi="仿宋_GB2312" w:eastAsia="仿宋_GB2312" w:cs="仿宋_GB2312"/>
                <w:sz w:val="21"/>
              </w:rPr>
              <w:t>★</w:t>
            </w:r>
            <w:r>
              <w:rPr>
                <w:rFonts w:ascii="仿宋_GB2312" w:hAnsi="仿宋_GB2312" w:eastAsia="仿宋_GB2312" w:cs="仿宋_GB2312"/>
                <w:b/>
                <w:sz w:val="21"/>
              </w:rPr>
              <w:t>一、服务内容及要求</w:t>
            </w:r>
          </w:p>
          <w:p w14:paraId="1E6E651B">
            <w:pPr>
              <w:pStyle w:val="4"/>
              <w:ind w:firstLine="420"/>
              <w:jc w:val="both"/>
            </w:pPr>
            <w:r>
              <w:rPr>
                <w:rFonts w:ascii="仿宋_GB2312" w:hAnsi="仿宋_GB2312" w:eastAsia="仿宋_GB2312" w:cs="仿宋_GB2312"/>
                <w:sz w:val="21"/>
              </w:rPr>
              <w:t>供应商须根据采购人需求，及时响应并进行维修处理。实际情况以采购人委托为准，按照采购人相关部门的要求，办理</w:t>
            </w:r>
            <w:r>
              <w:rPr>
                <w:rFonts w:ascii="仿宋_GB2312" w:hAnsi="仿宋_GB2312" w:eastAsia="仿宋_GB2312" w:cs="仿宋_GB2312"/>
                <w:sz w:val="19"/>
              </w:rPr>
              <w:t>零星维修所需的相关手续及资料，组织并完成零星修缮服务。</w:t>
            </w:r>
          </w:p>
          <w:p w14:paraId="63951F51">
            <w:pPr>
              <w:pStyle w:val="4"/>
              <w:jc w:val="both"/>
            </w:pPr>
            <w:r>
              <w:rPr>
                <w:rFonts w:ascii="仿宋_GB2312" w:hAnsi="仿宋_GB2312" w:eastAsia="仿宋_GB2312" w:cs="仿宋_GB2312"/>
                <w:sz w:val="21"/>
              </w:rPr>
              <w:t>★</w:t>
            </w:r>
            <w:r>
              <w:rPr>
                <w:rFonts w:ascii="仿宋_GB2312" w:hAnsi="仿宋_GB2312" w:eastAsia="仿宋_GB2312" w:cs="仿宋_GB2312"/>
                <w:b/>
                <w:sz w:val="21"/>
              </w:rPr>
              <w:t>二、服务要求</w:t>
            </w:r>
          </w:p>
          <w:p w14:paraId="479E54FA">
            <w:pPr>
              <w:pStyle w:val="4"/>
              <w:ind w:firstLine="420"/>
              <w:jc w:val="both"/>
            </w:pPr>
            <w:r>
              <w:rPr>
                <w:rFonts w:ascii="仿宋_GB2312" w:hAnsi="仿宋_GB2312" w:eastAsia="仿宋_GB2312" w:cs="仿宋_GB2312"/>
                <w:sz w:val="21"/>
              </w:rPr>
              <w:t>1.施工材料、设备由供应商自行负责，采购人不提供库房存放，施工材料的堆放应符合采购人要求，并在施工材料堆放位置设置醒目的警示、提醒标志。</w:t>
            </w:r>
          </w:p>
          <w:p w14:paraId="1D46E6CC">
            <w:pPr>
              <w:pStyle w:val="4"/>
              <w:ind w:firstLine="420"/>
              <w:jc w:val="both"/>
            </w:pPr>
            <w:r>
              <w:rPr>
                <w:rFonts w:ascii="仿宋_GB2312" w:hAnsi="仿宋_GB2312" w:eastAsia="仿宋_GB2312" w:cs="仿宋_GB2312"/>
                <w:sz w:val="21"/>
              </w:rPr>
              <w:t>2.安全要求</w:t>
            </w:r>
          </w:p>
          <w:p w14:paraId="5CC69533">
            <w:pPr>
              <w:pStyle w:val="4"/>
              <w:ind w:firstLine="420"/>
              <w:jc w:val="both"/>
            </w:pPr>
            <w:r>
              <w:rPr>
                <w:rFonts w:ascii="仿宋_GB2312" w:hAnsi="仿宋_GB2312" w:eastAsia="仿宋_GB2312" w:cs="仿宋_GB2312"/>
                <w:sz w:val="21"/>
              </w:rPr>
              <w:t>2.1供应商必须保证施工现场和人员安全，由于自身安全措施不力造成事故的责任和因此发生的费用，由供应商自行承担，供应商造成采购人或第三方财物损失的，须按原价赔偿并承担相关法律责任。</w:t>
            </w:r>
          </w:p>
          <w:p w14:paraId="03C12581">
            <w:pPr>
              <w:pStyle w:val="4"/>
              <w:ind w:firstLine="422"/>
              <w:jc w:val="both"/>
            </w:pPr>
            <w:r>
              <w:rPr>
                <w:rFonts w:ascii="仿宋_GB2312" w:hAnsi="仿宋_GB2312" w:eastAsia="仿宋_GB2312" w:cs="仿宋_GB2312"/>
                <w:b/>
                <w:sz w:val="21"/>
              </w:rPr>
              <w:t>2.2安全技术交底：</w:t>
            </w:r>
            <w:r>
              <w:rPr>
                <w:rFonts w:ascii="仿宋_GB2312" w:hAnsi="仿宋_GB2312" w:eastAsia="仿宋_GB2312" w:cs="仿宋_GB2312"/>
                <w:sz w:val="21"/>
              </w:rPr>
              <w:t>每项维修服务开始前，供应商项目负责人必须对施工班组进行安全技术交底，明确作业风险、防护措施和应急处理流程。</w:t>
            </w:r>
          </w:p>
          <w:p w14:paraId="30309F55">
            <w:pPr>
              <w:pStyle w:val="4"/>
              <w:ind w:firstLine="422"/>
              <w:jc w:val="both"/>
            </w:pPr>
            <w:r>
              <w:rPr>
                <w:rFonts w:ascii="仿宋_GB2312" w:hAnsi="仿宋_GB2312" w:eastAsia="仿宋_GB2312" w:cs="仿宋_GB2312"/>
                <w:b/>
                <w:sz w:val="21"/>
              </w:rPr>
              <w:t>2.3安全投入保障：</w:t>
            </w:r>
            <w:r>
              <w:rPr>
                <w:rFonts w:ascii="仿宋_GB2312" w:hAnsi="仿宋_GB2312" w:eastAsia="仿宋_GB2312" w:cs="仿宋_GB2312"/>
                <w:sz w:val="21"/>
              </w:rPr>
              <w:t>供应商应确保安全防护、劳动防护用品（安全帽、安全带、防护手套、绝缘鞋等）配备到位，费用由供应商自行承担。未按规定配备的，采购人有权责令停工整改。</w:t>
            </w:r>
          </w:p>
          <w:p w14:paraId="027A28D4">
            <w:pPr>
              <w:pStyle w:val="4"/>
              <w:ind w:firstLine="420"/>
              <w:jc w:val="both"/>
            </w:pPr>
            <w:r>
              <w:rPr>
                <w:rFonts w:ascii="仿宋_GB2312" w:hAnsi="仿宋_GB2312" w:eastAsia="仿宋_GB2312" w:cs="仿宋_GB2312"/>
                <w:sz w:val="21"/>
              </w:rPr>
              <w:t>2.4涉及校园主干道、出入口、学生宿舍区等重点区域的施工，供应商必须提前制定交通疏导方案，并报采购人批准。</w:t>
            </w:r>
          </w:p>
          <w:p w14:paraId="485D67F6">
            <w:pPr>
              <w:pStyle w:val="4"/>
              <w:ind w:firstLine="420"/>
              <w:jc w:val="both"/>
            </w:pPr>
            <w:r>
              <w:rPr>
                <w:rFonts w:ascii="仿宋_GB2312" w:hAnsi="仿宋_GB2312" w:eastAsia="仿宋_GB2312" w:cs="仿宋_GB2312"/>
                <w:sz w:val="21"/>
              </w:rPr>
              <w:t>2.5若涉及动火作业，供应商须遵守国家相关规定，提前报备，每日施工结束后，供应商应组织检查现场，确认无火源隐患后方可离场。</w:t>
            </w:r>
          </w:p>
          <w:p w14:paraId="3AC12E09">
            <w:pPr>
              <w:pStyle w:val="4"/>
              <w:ind w:firstLine="420"/>
              <w:jc w:val="both"/>
            </w:pPr>
            <w:r>
              <w:rPr>
                <w:rFonts w:ascii="仿宋_GB2312" w:hAnsi="仿宋_GB2312" w:eastAsia="仿宋_GB2312" w:cs="仿宋_GB2312"/>
                <w:sz w:val="21"/>
              </w:rPr>
              <w:t>2.6其他未列明的安全要求，供应商须严格按照国家相关标准执行。</w:t>
            </w:r>
          </w:p>
          <w:p w14:paraId="6E614097">
            <w:pPr>
              <w:pStyle w:val="4"/>
              <w:ind w:firstLine="420"/>
              <w:jc w:val="both"/>
            </w:pPr>
            <w:r>
              <w:rPr>
                <w:rFonts w:ascii="仿宋_GB2312" w:hAnsi="仿宋_GB2312" w:eastAsia="仿宋_GB2312" w:cs="仿宋_GB2312"/>
                <w:sz w:val="21"/>
              </w:rPr>
              <w:t>3.工程材料应提供符合国家质检部门及生产厂商的质量要求的全新货物，且均需通过采购人认可。若在项目实施过程中所涉及须使用国家强制节能产品的，供应商须使用强制节能产品，并向采购人提供节能认证证书。若涉及使用优先采购节能或优先采购环保标识产品的，供应商需尽量使用节能产品和环保标志产品。</w:t>
            </w:r>
          </w:p>
          <w:p w14:paraId="2B4C9AA3">
            <w:pPr>
              <w:pStyle w:val="4"/>
              <w:ind w:firstLine="420"/>
              <w:jc w:val="both"/>
            </w:pPr>
            <w:r>
              <w:rPr>
                <w:rFonts w:ascii="仿宋_GB2312" w:hAnsi="仿宋_GB2312" w:eastAsia="仿宋_GB2312" w:cs="仿宋_GB2312"/>
                <w:sz w:val="21"/>
              </w:rPr>
              <w:t>4.隐蔽工程应符合国家工程竣工验收的规定并留存影像资料。</w:t>
            </w:r>
          </w:p>
          <w:p w14:paraId="3B91B81D">
            <w:pPr>
              <w:pStyle w:val="4"/>
              <w:ind w:firstLine="420"/>
              <w:jc w:val="both"/>
            </w:pPr>
            <w:r>
              <w:rPr>
                <w:rFonts w:ascii="仿宋_GB2312" w:hAnsi="仿宋_GB2312" w:eastAsia="仿宋_GB2312" w:cs="仿宋_GB2312"/>
                <w:sz w:val="21"/>
              </w:rPr>
              <w:t>5.工程现场管理要求：</w:t>
            </w:r>
          </w:p>
          <w:p w14:paraId="7454C5DF">
            <w:pPr>
              <w:pStyle w:val="4"/>
              <w:ind w:firstLine="420"/>
              <w:jc w:val="left"/>
            </w:pPr>
            <w:r>
              <w:rPr>
                <w:rFonts w:ascii="仿宋_GB2312" w:hAnsi="仿宋_GB2312" w:eastAsia="仿宋_GB2312" w:cs="仿宋_GB2312"/>
                <w:sz w:val="21"/>
                <w:shd w:val="clear" w:fill="FFFFFF"/>
              </w:rPr>
              <w:t>5.1 供应商需根据采购人需求，报出维修相关解决方案，经采购人审核同意后方能施工。</w:t>
            </w:r>
          </w:p>
          <w:p w14:paraId="699A0037">
            <w:pPr>
              <w:pStyle w:val="4"/>
              <w:ind w:firstLine="420"/>
              <w:jc w:val="both"/>
            </w:pPr>
            <w:r>
              <w:rPr>
                <w:rFonts w:ascii="仿宋_GB2312" w:hAnsi="仿宋_GB2312" w:eastAsia="仿宋_GB2312" w:cs="仿宋_GB2312"/>
                <w:sz w:val="21"/>
              </w:rPr>
              <w:t>5.2 供应商全面负责维修服务项目工程质量、安全、进度、文明施工等工作，及时通知采购人相关部门办理各种签证、收集工程资料文件等（工程中涉及拆除、变更的必须有拍照并签证，并绘制准确合理的工程图纸（草图），若无供应商、监理单位（若涉及）和采购人现场代表签证，将不予认可）。</w:t>
            </w:r>
          </w:p>
          <w:p w14:paraId="095CB0C1">
            <w:pPr>
              <w:pStyle w:val="4"/>
              <w:ind w:firstLine="420"/>
              <w:jc w:val="both"/>
            </w:pPr>
            <w:r>
              <w:rPr>
                <w:rFonts w:ascii="仿宋_GB2312" w:hAnsi="仿宋_GB2312" w:eastAsia="仿宋_GB2312" w:cs="仿宋_GB2312"/>
                <w:sz w:val="21"/>
              </w:rPr>
              <w:t>5.3严格执行有关维修服务施工现场管理的规定，不得扰民及污染环境。遵守国家或地方政府及采购人对施工现场管理的规定，妥善保护好施工现场周围建筑物、设备管线、植物草坪和其他公共财物，做好施工现场保护和垃圾消纳等工作。供应商必须保证施工现场的环境卫生清洁，不得在校内倾倒建渣，建筑垃圾由供应商运到校外合法倒场倾倒，原则上当日产生的建渣当日处理完毕。</w:t>
            </w:r>
          </w:p>
          <w:p w14:paraId="6E7948E8">
            <w:pPr>
              <w:pStyle w:val="4"/>
              <w:ind w:firstLine="420"/>
              <w:jc w:val="both"/>
            </w:pPr>
            <w:r>
              <w:rPr>
                <w:rFonts w:ascii="仿宋_GB2312" w:hAnsi="仿宋_GB2312" w:eastAsia="仿宋_GB2312" w:cs="仿宋_GB2312"/>
                <w:sz w:val="21"/>
              </w:rPr>
              <w:t>5.4供应商必须接受采购人关于校园工程、物业相关管理办法的管理。</w:t>
            </w:r>
          </w:p>
          <w:p w14:paraId="1B526DD7">
            <w:pPr>
              <w:pStyle w:val="4"/>
              <w:ind w:firstLine="420"/>
              <w:jc w:val="both"/>
            </w:pPr>
            <w:r>
              <w:rPr>
                <w:rFonts w:ascii="仿宋_GB2312" w:hAnsi="仿宋_GB2312" w:eastAsia="仿宋_GB2312" w:cs="仿宋_GB2312"/>
                <w:sz w:val="21"/>
              </w:rPr>
              <w:t>6.工期的约定：</w:t>
            </w:r>
          </w:p>
          <w:p w14:paraId="60A18B1B">
            <w:pPr>
              <w:pStyle w:val="4"/>
              <w:ind w:firstLine="420"/>
              <w:jc w:val="both"/>
            </w:pPr>
            <w:r>
              <w:rPr>
                <w:rFonts w:ascii="仿宋_GB2312" w:hAnsi="仿宋_GB2312" w:eastAsia="仿宋_GB2312" w:cs="仿宋_GB2312"/>
                <w:sz w:val="21"/>
              </w:rPr>
              <w:t>6.1 工期视具体项目而定，应急工程应立即施工，尽量缩短工期。</w:t>
            </w:r>
          </w:p>
          <w:p w14:paraId="51FA7428">
            <w:pPr>
              <w:pStyle w:val="4"/>
              <w:ind w:firstLine="420"/>
              <w:jc w:val="both"/>
            </w:pPr>
            <w:r>
              <w:rPr>
                <w:rFonts w:ascii="仿宋_GB2312" w:hAnsi="仿宋_GB2312" w:eastAsia="仿宋_GB2312" w:cs="仿宋_GB2312"/>
                <w:sz w:val="21"/>
              </w:rPr>
              <w:t>6.2 对以下原因造成竣工日期延误，经采购人书面确认，工期可相应顺延：</w:t>
            </w:r>
          </w:p>
          <w:p w14:paraId="080DD528">
            <w:pPr>
              <w:pStyle w:val="4"/>
              <w:ind w:firstLine="420"/>
              <w:jc w:val="both"/>
            </w:pPr>
            <w:r>
              <w:rPr>
                <w:rFonts w:ascii="仿宋_GB2312" w:hAnsi="仿宋_GB2312" w:eastAsia="仿宋_GB2312" w:cs="仿宋_GB2312"/>
                <w:sz w:val="21"/>
              </w:rPr>
              <w:t>（1）工程量变化和设计变更；</w:t>
            </w:r>
          </w:p>
          <w:p w14:paraId="05A8E3E5">
            <w:pPr>
              <w:pStyle w:val="4"/>
              <w:ind w:firstLine="420"/>
              <w:jc w:val="both"/>
            </w:pPr>
            <w:r>
              <w:rPr>
                <w:rFonts w:ascii="仿宋_GB2312" w:hAnsi="仿宋_GB2312" w:eastAsia="仿宋_GB2312" w:cs="仿宋_GB2312"/>
                <w:sz w:val="21"/>
              </w:rPr>
              <w:t>（2）不可抗力（如地震）；</w:t>
            </w:r>
          </w:p>
          <w:p w14:paraId="2F3E949D">
            <w:pPr>
              <w:pStyle w:val="4"/>
              <w:ind w:firstLine="420"/>
              <w:jc w:val="both"/>
            </w:pPr>
            <w:r>
              <w:rPr>
                <w:rFonts w:ascii="仿宋_GB2312" w:hAnsi="仿宋_GB2312" w:eastAsia="仿宋_GB2312" w:cs="仿宋_GB2312"/>
                <w:sz w:val="21"/>
              </w:rPr>
              <w:t>（3）采购人同意工期顺延的其他情况；</w:t>
            </w:r>
          </w:p>
          <w:p w14:paraId="09BDA8D3">
            <w:pPr>
              <w:pStyle w:val="4"/>
              <w:ind w:firstLine="420"/>
              <w:jc w:val="both"/>
            </w:pPr>
            <w:r>
              <w:rPr>
                <w:rFonts w:ascii="仿宋_GB2312" w:hAnsi="仿宋_GB2312" w:eastAsia="仿宋_GB2312" w:cs="仿宋_GB2312"/>
                <w:sz w:val="21"/>
              </w:rPr>
              <w:t>6.3 因供应商供材或施工等原因不能按期完工的，工期不顺延；因供应商原因造成工程质量存在问题的，返工费用由供应商承担，工期不顺延。因供应商原因致使工期无法准时完成的，供应商应承担对采购人造成的一切损失。</w:t>
            </w:r>
          </w:p>
          <w:p w14:paraId="2C6C206F">
            <w:pPr>
              <w:pStyle w:val="4"/>
              <w:ind w:firstLine="420"/>
              <w:jc w:val="both"/>
            </w:pPr>
            <w:r>
              <w:rPr>
                <w:rFonts w:ascii="仿宋_GB2312" w:hAnsi="仿宋_GB2312" w:eastAsia="仿宋_GB2312" w:cs="仿宋_GB2312"/>
                <w:sz w:val="21"/>
              </w:rPr>
              <w:t>7.保险：</w:t>
            </w:r>
          </w:p>
          <w:p w14:paraId="589ACE90">
            <w:pPr>
              <w:pStyle w:val="4"/>
              <w:ind w:firstLine="420"/>
              <w:jc w:val="both"/>
            </w:pPr>
            <w:r>
              <w:rPr>
                <w:rFonts w:ascii="仿宋_GB2312" w:hAnsi="仿宋_GB2312" w:eastAsia="仿宋_GB2312" w:cs="仿宋_GB2312"/>
                <w:sz w:val="21"/>
              </w:rPr>
              <w:t>7.1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w:t>
            </w:r>
          </w:p>
          <w:p w14:paraId="23A3ECBA">
            <w:pPr>
              <w:pStyle w:val="4"/>
              <w:ind w:firstLine="420"/>
              <w:jc w:val="both"/>
            </w:pPr>
            <w:r>
              <w:rPr>
                <w:rFonts w:ascii="仿宋_GB2312" w:hAnsi="仿宋_GB2312" w:eastAsia="仿宋_GB2312" w:cs="仿宋_GB2312"/>
                <w:sz w:val="21"/>
              </w:rPr>
              <w:t>7.2供应商应为本项目提供履约的所有人员按照国家规定购买相关保险。</w:t>
            </w:r>
          </w:p>
          <w:p w14:paraId="12E9CA31">
            <w:pPr>
              <w:pStyle w:val="4"/>
              <w:ind w:firstLine="420"/>
              <w:jc w:val="both"/>
            </w:pPr>
            <w:r>
              <w:rPr>
                <w:rFonts w:ascii="仿宋_GB2312" w:hAnsi="仿宋_GB2312" w:eastAsia="仿宋_GB2312" w:cs="仿宋_GB2312"/>
                <w:sz w:val="21"/>
                <w:shd w:val="clear" w:fill="FFFFFF"/>
              </w:rPr>
              <w:t>7.3供应商应为本项目购买公众责任险。</w:t>
            </w:r>
          </w:p>
          <w:p w14:paraId="6467FB1C">
            <w:pPr>
              <w:pStyle w:val="4"/>
              <w:jc w:val="both"/>
            </w:pPr>
            <w:r>
              <w:rPr>
                <w:rFonts w:ascii="仿宋_GB2312" w:hAnsi="仿宋_GB2312" w:eastAsia="仿宋_GB2312" w:cs="仿宋_GB2312"/>
                <w:sz w:val="21"/>
              </w:rPr>
              <w:t>★</w:t>
            </w:r>
            <w:r>
              <w:rPr>
                <w:rFonts w:ascii="仿宋_GB2312" w:hAnsi="仿宋_GB2312" w:eastAsia="仿宋_GB2312" w:cs="仿宋_GB2312"/>
                <w:b/>
                <w:sz w:val="21"/>
              </w:rPr>
              <w:t>三、其他要求</w:t>
            </w:r>
          </w:p>
          <w:p w14:paraId="3C89E08D">
            <w:pPr>
              <w:pStyle w:val="4"/>
              <w:ind w:firstLine="420"/>
              <w:jc w:val="both"/>
            </w:pPr>
            <w:r>
              <w:rPr>
                <w:rFonts w:ascii="仿宋_GB2312" w:hAnsi="仿宋_GB2312" w:eastAsia="仿宋_GB2312" w:cs="仿宋_GB2312"/>
                <w:sz w:val="21"/>
              </w:rPr>
              <w:t>1.供应商遵守采购人规章制度和相关法律法规。工作期间着装规范、整洁。人员、车辆等必须遵守采购人规定。</w:t>
            </w:r>
          </w:p>
          <w:p w14:paraId="3FEACC80">
            <w:pPr>
              <w:pStyle w:val="4"/>
              <w:ind w:firstLine="420"/>
              <w:jc w:val="both"/>
            </w:pPr>
            <w:r>
              <w:rPr>
                <w:rFonts w:ascii="仿宋_GB2312" w:hAnsi="仿宋_GB2312" w:eastAsia="仿宋_GB2312" w:cs="仿宋_GB2312"/>
                <w:sz w:val="21"/>
              </w:rPr>
              <w:t>2.在采购人后勤保障部能源管理服务中心零星维修现场管理人员的安排下开展工作。</w:t>
            </w:r>
          </w:p>
          <w:p w14:paraId="2555B60C">
            <w:pPr>
              <w:pStyle w:val="4"/>
              <w:ind w:firstLine="420"/>
              <w:jc w:val="both"/>
            </w:pPr>
            <w:r>
              <w:rPr>
                <w:rFonts w:ascii="仿宋_GB2312" w:hAnsi="仿宋_GB2312" w:eastAsia="仿宋_GB2312" w:cs="仿宋_GB2312"/>
                <w:sz w:val="21"/>
              </w:rPr>
              <w:t>3.严禁私自收取采购人师生维修服务费用。严禁向采购人管理人员进行拉拢、行贿。</w:t>
            </w:r>
          </w:p>
          <w:p w14:paraId="7EDD5320">
            <w:pPr>
              <w:pStyle w:val="4"/>
              <w:ind w:firstLine="420"/>
              <w:jc w:val="both"/>
            </w:pPr>
            <w:r>
              <w:rPr>
                <w:rFonts w:ascii="仿宋_GB2312" w:hAnsi="仿宋_GB2312" w:eastAsia="仿宋_GB2312" w:cs="仿宋_GB2312"/>
                <w:sz w:val="21"/>
              </w:rPr>
              <w:t>4.强化安全生产意识，主动发现、排除安全隐患。发现安全隐患及时报告采购人后勤保障部相关负责人和项目负责人。</w:t>
            </w:r>
          </w:p>
          <w:p w14:paraId="1375E849">
            <w:pPr>
              <w:pStyle w:val="4"/>
              <w:ind w:firstLine="420"/>
              <w:jc w:val="both"/>
            </w:pPr>
            <w:r>
              <w:rPr>
                <w:rFonts w:ascii="仿宋_GB2312" w:hAnsi="仿宋_GB2312" w:eastAsia="仿宋_GB2312" w:cs="仿宋_GB2312"/>
                <w:sz w:val="21"/>
              </w:rPr>
              <w:t>5.做好现场安全防护施工现场警示牌及标识。严格按照操作规程进行施工，杜绝一切安全事故发生。</w:t>
            </w:r>
          </w:p>
          <w:p w14:paraId="6367926A">
            <w:pPr>
              <w:pStyle w:val="4"/>
              <w:ind w:firstLine="420"/>
              <w:jc w:val="both"/>
            </w:pPr>
            <w:r>
              <w:rPr>
                <w:rFonts w:ascii="仿宋_GB2312" w:hAnsi="仿宋_GB2312" w:eastAsia="仿宋_GB2312" w:cs="仿宋_GB2312"/>
                <w:sz w:val="21"/>
              </w:rPr>
              <w:t>6.响应时间</w:t>
            </w:r>
          </w:p>
          <w:p w14:paraId="0026A789">
            <w:pPr>
              <w:pStyle w:val="4"/>
              <w:ind w:firstLine="420"/>
              <w:jc w:val="both"/>
            </w:pPr>
            <w:r>
              <w:rPr>
                <w:rFonts w:ascii="仿宋_GB2312" w:hAnsi="仿宋_GB2312" w:eastAsia="仿宋_GB2312" w:cs="仿宋_GB2312"/>
                <w:sz w:val="21"/>
              </w:rPr>
              <w:t>6.1接到采购人修缮通知后，需做预算的项目，48小时完成预算编制。</w:t>
            </w:r>
          </w:p>
          <w:p w14:paraId="366045B8">
            <w:pPr>
              <w:pStyle w:val="4"/>
              <w:ind w:firstLine="420"/>
              <w:jc w:val="both"/>
            </w:pPr>
            <w:r>
              <w:rPr>
                <w:rFonts w:ascii="仿宋_GB2312" w:hAnsi="仿宋_GB2312" w:eastAsia="仿宋_GB2312" w:cs="仿宋_GB2312"/>
                <w:sz w:val="21"/>
              </w:rPr>
              <w:t>6.2一般维修不超过24小时，特殊情况，与采购人后勤保障部共同确定工期。不得随意超出规定时间。</w:t>
            </w:r>
          </w:p>
          <w:p w14:paraId="4478AC1B">
            <w:pPr>
              <w:pStyle w:val="4"/>
              <w:ind w:firstLine="420"/>
              <w:jc w:val="both"/>
            </w:pPr>
            <w:r>
              <w:rPr>
                <w:rFonts w:ascii="仿宋_GB2312" w:hAnsi="仿宋_GB2312" w:eastAsia="仿宋_GB2312" w:cs="仿宋_GB2312"/>
                <w:sz w:val="21"/>
              </w:rPr>
              <w:t>6.3若接到采购人应急处理事件，须在接到采购人通知后立即赶赴现场。</w:t>
            </w:r>
          </w:p>
          <w:p w14:paraId="77EB98CE">
            <w:pPr>
              <w:pStyle w:val="4"/>
              <w:ind w:firstLine="420"/>
              <w:jc w:val="both"/>
            </w:pPr>
            <w:r>
              <w:rPr>
                <w:rFonts w:ascii="仿宋_GB2312" w:hAnsi="仿宋_GB2312" w:eastAsia="仿宋_GB2312" w:cs="仿宋_GB2312"/>
                <w:sz w:val="21"/>
              </w:rPr>
              <w:t>7.做到精细维修，严禁偷工减料，无正当理由同一个内容不得反复维修。维修质保期按照国家相关规定执行。</w:t>
            </w:r>
          </w:p>
          <w:p w14:paraId="04A28821">
            <w:pPr>
              <w:pStyle w:val="4"/>
              <w:ind w:firstLine="420"/>
              <w:jc w:val="both"/>
            </w:pPr>
            <w:r>
              <w:rPr>
                <w:rFonts w:ascii="仿宋_GB2312" w:hAnsi="仿宋_GB2312" w:eastAsia="仿宋_GB2312" w:cs="仿宋_GB2312"/>
                <w:sz w:val="21"/>
              </w:rPr>
              <w:t>8.供应商不服从采购人管理或未遵守相关规定的，采购人师生有权向采购人反映、投诉，情节严重者，采购人有权与供应商无条件解除合同。</w:t>
            </w:r>
          </w:p>
          <w:p w14:paraId="2E27A538">
            <w:pPr>
              <w:pStyle w:val="4"/>
              <w:ind w:firstLine="420"/>
              <w:jc w:val="both"/>
            </w:pPr>
            <w:r>
              <w:rPr>
                <w:rFonts w:ascii="仿宋_GB2312" w:hAnsi="仿宋_GB2312" w:eastAsia="仿宋_GB2312" w:cs="仿宋_GB2312"/>
                <w:sz w:val="21"/>
              </w:rPr>
              <w:t>9.报价要求</w:t>
            </w:r>
          </w:p>
          <w:p w14:paraId="35FC5C22">
            <w:pPr>
              <w:pStyle w:val="4"/>
              <w:ind w:firstLine="420"/>
              <w:jc w:val="both"/>
            </w:pPr>
            <w:r>
              <w:rPr>
                <w:rFonts w:ascii="仿宋_GB2312" w:hAnsi="仿宋_GB2312" w:eastAsia="仿宋_GB2312" w:cs="仿宋_GB2312"/>
                <w:sz w:val="21"/>
              </w:rPr>
              <w:t>9.1本项目采用结算率的报价形式，0%＜结算率≦100%。</w:t>
            </w:r>
          </w:p>
          <w:p w14:paraId="1DA895FB">
            <w:pPr>
              <w:pStyle w:val="4"/>
              <w:ind w:firstLine="420"/>
              <w:jc w:val="both"/>
            </w:pPr>
            <w:r>
              <w:rPr>
                <w:rFonts w:ascii="仿宋_GB2312" w:hAnsi="仿宋_GB2312" w:eastAsia="仿宋_GB2312" w:cs="仿宋_GB2312"/>
                <w:sz w:val="21"/>
              </w:rPr>
              <w:t>9.2本项目采用结算率报价，供应商的报价是本次采购的所有维修服务项目的计算结算暂定价的基础上按统一结算率结算。以磋商文件规定的计算结算暂定价确定方式作为基准，结算价格=计算结算暂定价×成交结算率+市场价询价材料价。例如：成交结算率为90%，经确定的计算结算暂定价为10000.00元，且不涉及市场价询价材料价的情况下，结算价格=10000元×90%=9000元。</w:t>
            </w:r>
          </w:p>
          <w:p w14:paraId="6056A9C4">
            <w:pPr>
              <w:pStyle w:val="4"/>
              <w:ind w:firstLine="420"/>
              <w:jc w:val="both"/>
            </w:pPr>
            <w:r>
              <w:rPr>
                <w:rFonts w:ascii="仿宋_GB2312" w:hAnsi="仿宋_GB2312" w:eastAsia="仿宋_GB2312" w:cs="仿宋_GB2312"/>
                <w:sz w:val="21"/>
              </w:rPr>
              <w:t>10.结算要求</w:t>
            </w:r>
          </w:p>
          <w:p w14:paraId="20B032A2">
            <w:pPr>
              <w:pStyle w:val="4"/>
              <w:ind w:firstLine="422"/>
              <w:jc w:val="left"/>
            </w:pPr>
            <w:r>
              <w:rPr>
                <w:rFonts w:ascii="仿宋_GB2312" w:hAnsi="仿宋_GB2312" w:eastAsia="仿宋_GB2312" w:cs="仿宋_GB2312"/>
                <w:b/>
                <w:sz w:val="21"/>
              </w:rPr>
              <w:t>10.1以工程量计价进行结算项目：</w:t>
            </w:r>
            <w:r>
              <w:rPr>
                <w:rFonts w:ascii="仿宋_GB2312" w:hAnsi="仿宋_GB2312" w:eastAsia="仿宋_GB2312" w:cs="仿宋_GB2312"/>
                <w:sz w:val="21"/>
              </w:rPr>
              <w:t>单次单项日常零星维修造价在3000元以上的项目，根据实际工作量按项目所适用的定额套项，按照GB50500-2013《建设工程工程量清单计价规范》、2020年《四川省建设工程工程量清单计价定额》及相关配套文件等进行组价，安全文明施工费按基本费率计取，规费、税费按相关规定计取；</w:t>
            </w:r>
            <w:r>
              <w:rPr>
                <w:rFonts w:ascii="仿宋_GB2312" w:hAnsi="仿宋_GB2312" w:eastAsia="仿宋_GB2312" w:cs="仿宋_GB2312"/>
                <w:sz w:val="19"/>
              </w:rPr>
              <w:t>材料价格采用工程实施当月自贡市造价站或四川省发布的市场价格信息主刊不含进项税价格</w:t>
            </w:r>
            <w:r>
              <w:rPr>
                <w:rFonts w:ascii="仿宋_GB2312" w:hAnsi="仿宋_GB2312" w:eastAsia="仿宋_GB2312" w:cs="仿宋_GB2312"/>
                <w:sz w:val="21"/>
              </w:rPr>
              <w:t>，计算为结算暂定价。其中信息价中没有的材料价格按自贡市市场价询价（不含进项税价格），市场价询价材料价不作下浮，结算暂定价经采购人或第三方造价咨询机构审核后的决算价为准（若有最新标准按最新标准执行），最终结算价=计算结算暂定价*成交结算率+市场价询价材料价。</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742"/>
              <w:gridCol w:w="2731"/>
            </w:tblGrid>
            <w:tr w14:paraId="3F7FBE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886A58">
                  <w:pPr>
                    <w:pStyle w:val="4"/>
                    <w:ind w:firstLine="482"/>
                    <w:jc w:val="center"/>
                  </w:pPr>
                  <w:r>
                    <w:rPr>
                      <w:rFonts w:ascii="仿宋_GB2312" w:hAnsi="仿宋_GB2312" w:eastAsia="仿宋_GB2312" w:cs="仿宋_GB2312"/>
                      <w:sz w:val="21"/>
                    </w:rPr>
                    <w:t>校区</w:t>
                  </w:r>
                </w:p>
              </w:tc>
              <w:tc>
                <w:tcPr>
                  <w:tcW w:w="27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B74B37E">
                  <w:pPr>
                    <w:pStyle w:val="4"/>
                    <w:jc w:val="center"/>
                  </w:pPr>
                  <w:r>
                    <w:rPr>
                      <w:rFonts w:ascii="仿宋_GB2312" w:hAnsi="仿宋_GB2312" w:eastAsia="仿宋_GB2312" w:cs="仿宋_GB2312"/>
                      <w:sz w:val="21"/>
                    </w:rPr>
                    <w:t>自贡校区</w:t>
                  </w:r>
                </w:p>
              </w:tc>
            </w:tr>
            <w:tr w14:paraId="73CAD8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E8350A">
                  <w:pPr>
                    <w:pStyle w:val="4"/>
                    <w:ind w:firstLine="482"/>
                    <w:jc w:val="center"/>
                  </w:pPr>
                  <w:r>
                    <w:rPr>
                      <w:rFonts w:ascii="仿宋_GB2312" w:hAnsi="仿宋_GB2312" w:eastAsia="仿宋_GB2312" w:cs="仿宋_GB2312"/>
                      <w:sz w:val="21"/>
                    </w:rPr>
                    <w:t>预计费用</w:t>
                  </w:r>
                </w:p>
              </w:tc>
              <w:tc>
                <w:tcPr>
                  <w:tcW w:w="2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91669">
                  <w:pPr>
                    <w:pStyle w:val="4"/>
                    <w:jc w:val="center"/>
                  </w:pPr>
                  <w:r>
                    <w:rPr>
                      <w:rFonts w:ascii="仿宋_GB2312" w:hAnsi="仿宋_GB2312" w:eastAsia="仿宋_GB2312" w:cs="仿宋_GB2312"/>
                      <w:sz w:val="21"/>
                    </w:rPr>
                    <w:t>110万元</w:t>
                  </w:r>
                </w:p>
              </w:tc>
            </w:tr>
          </w:tbl>
          <w:p w14:paraId="01A179A2">
            <w:pPr>
              <w:pStyle w:val="4"/>
              <w:ind w:firstLine="480"/>
              <w:jc w:val="both"/>
            </w:pPr>
            <w:r>
              <w:rPr>
                <w:rFonts w:ascii="仿宋_GB2312" w:hAnsi="仿宋_GB2312" w:eastAsia="仿宋_GB2312" w:cs="仿宋_GB2312"/>
                <w:b/>
                <w:sz w:val="21"/>
              </w:rPr>
              <w:t>10.2以计日工计价进行结算项目：</w:t>
            </w:r>
          </w:p>
          <w:p w14:paraId="27622D99">
            <w:pPr>
              <w:pStyle w:val="4"/>
              <w:ind w:firstLine="482"/>
              <w:jc w:val="left"/>
            </w:pPr>
            <w:r>
              <w:rPr>
                <w:rFonts w:ascii="仿宋_GB2312" w:hAnsi="仿宋_GB2312" w:eastAsia="仿宋_GB2312" w:cs="仿宋_GB2312"/>
                <w:sz w:val="21"/>
              </w:rPr>
              <w:t>单项工程造价在3000元以下和不适宜套定额项目的零星维修项目，计日工以单价控制价结合成交结算率进行计算，</w:t>
            </w:r>
            <w:r>
              <w:rPr>
                <w:rFonts w:ascii="仿宋_GB2312" w:hAnsi="仿宋_GB2312" w:eastAsia="仿宋_GB2312" w:cs="仿宋_GB2312"/>
                <w:sz w:val="19"/>
              </w:rPr>
              <w:t>材料价格采用工程实施当月自贡市造价站或四川省发布的市场价格信息主刊不含进项税价格</w:t>
            </w:r>
            <w:r>
              <w:rPr>
                <w:rFonts w:ascii="仿宋_GB2312" w:hAnsi="仿宋_GB2312" w:eastAsia="仿宋_GB2312" w:cs="仿宋_GB2312"/>
                <w:sz w:val="21"/>
              </w:rPr>
              <w:t>，其中信息价中没有的材料价格按自贡市市场价询价（不含进项税价格），市场价询价材料价格不作下浮。最终结算价=（计日工单价控制价*成交结算率）+（材料价*成交结算率）+市场价询价材料价</w:t>
            </w:r>
          </w:p>
          <w:p w14:paraId="6468F10E">
            <w:pPr>
              <w:pStyle w:val="4"/>
              <w:ind w:firstLine="482"/>
              <w:jc w:val="left"/>
            </w:pPr>
            <w:r>
              <w:rPr>
                <w:rFonts w:ascii="仿宋_GB2312" w:hAnsi="仿宋_GB2312" w:eastAsia="仿宋_GB2312" w:cs="仿宋_GB2312"/>
                <w:sz w:val="21"/>
              </w:rPr>
              <w:t>结算价经采购人或第三方造价咨询机构审核后的决算价为准（若有最新标准按最新标准执行）</w:t>
            </w:r>
          </w:p>
          <w:p w14:paraId="1926F22C">
            <w:pPr>
              <w:pStyle w:val="4"/>
              <w:ind w:firstLine="480"/>
              <w:jc w:val="left"/>
            </w:pPr>
            <w:r>
              <w:rPr>
                <w:rFonts w:ascii="仿宋_GB2312" w:hAnsi="仿宋_GB2312" w:eastAsia="仿宋_GB2312" w:cs="仿宋_GB2312"/>
                <w:sz w:val="21"/>
              </w:rPr>
              <w:t>所需工种控制价如下：</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061"/>
              <w:gridCol w:w="3412"/>
            </w:tblGrid>
            <w:tr w14:paraId="4B614A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2"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6F472E32">
                  <w:pPr>
                    <w:pStyle w:val="4"/>
                    <w:jc w:val="center"/>
                  </w:pPr>
                  <w:r>
                    <w:rPr>
                      <w:rFonts w:ascii="仿宋_GB2312" w:hAnsi="仿宋_GB2312" w:eastAsia="仿宋_GB2312" w:cs="仿宋_GB2312"/>
                      <w:b/>
                      <w:sz w:val="21"/>
                    </w:rPr>
                    <w:t>工种</w:t>
                  </w:r>
                </w:p>
              </w:tc>
              <w:tc>
                <w:tcPr>
                  <w:tcW w:w="3486"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3122CA39">
                  <w:pPr>
                    <w:pStyle w:val="4"/>
                    <w:jc w:val="center"/>
                  </w:pPr>
                  <w:r>
                    <w:rPr>
                      <w:rFonts w:ascii="仿宋_GB2312" w:hAnsi="仿宋_GB2312" w:eastAsia="仿宋_GB2312" w:cs="仿宋_GB2312"/>
                      <w:b/>
                      <w:sz w:val="21"/>
                    </w:rPr>
                    <w:t>单价控制价（元/日.含税）</w:t>
                  </w:r>
                </w:p>
              </w:tc>
            </w:tr>
            <w:tr w14:paraId="535B43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2" w:type="dxa"/>
                  <w:vMerge w:val="continue"/>
                  <w:tcBorders>
                    <w:top w:val="single" w:color="000000" w:sz="4" w:space="0"/>
                    <w:left w:val="single" w:color="000000" w:sz="4" w:space="0"/>
                    <w:bottom w:val="nil"/>
                    <w:right w:val="single" w:color="000000" w:sz="4" w:space="0"/>
                  </w:tcBorders>
                </w:tcPr>
                <w:p w14:paraId="19A740CA"/>
              </w:tc>
              <w:tc>
                <w:tcPr>
                  <w:tcW w:w="3486" w:type="dxa"/>
                  <w:vMerge w:val="continue"/>
                  <w:tcBorders>
                    <w:top w:val="single" w:color="000000" w:sz="4" w:space="0"/>
                    <w:left w:val="nil"/>
                    <w:bottom w:val="nil"/>
                    <w:right w:val="single" w:color="000000" w:sz="4" w:space="0"/>
                  </w:tcBorders>
                </w:tcPr>
                <w:p w14:paraId="6429AAFD"/>
              </w:tc>
            </w:tr>
            <w:tr w14:paraId="0495A8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47B0A2">
                  <w:pPr>
                    <w:pStyle w:val="4"/>
                    <w:jc w:val="left"/>
                  </w:pPr>
                  <w:r>
                    <w:rPr>
                      <w:rFonts w:ascii="仿宋_GB2312" w:hAnsi="仿宋_GB2312" w:eastAsia="仿宋_GB2312" w:cs="仿宋_GB2312"/>
                      <w:sz w:val="21"/>
                    </w:rPr>
                    <w:t>普工</w:t>
                  </w:r>
                </w:p>
              </w:tc>
              <w:tc>
                <w:tcPr>
                  <w:tcW w:w="34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DE878F">
                  <w:pPr>
                    <w:pStyle w:val="4"/>
                    <w:ind w:firstLine="482"/>
                    <w:jc w:val="center"/>
                  </w:pPr>
                  <w:r>
                    <w:rPr>
                      <w:rFonts w:ascii="仿宋_GB2312" w:hAnsi="仿宋_GB2312" w:eastAsia="仿宋_GB2312" w:cs="仿宋_GB2312"/>
                      <w:sz w:val="21"/>
                    </w:rPr>
                    <w:t>185</w:t>
                  </w:r>
                </w:p>
              </w:tc>
            </w:tr>
            <w:tr w14:paraId="49CF93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0CD63B">
                  <w:pPr>
                    <w:pStyle w:val="4"/>
                    <w:jc w:val="left"/>
                  </w:pPr>
                  <w:r>
                    <w:rPr>
                      <w:rFonts w:ascii="仿宋_GB2312" w:hAnsi="仿宋_GB2312" w:eastAsia="仿宋_GB2312" w:cs="仿宋_GB2312"/>
                      <w:sz w:val="21"/>
                    </w:rPr>
                    <w:t>技工</w:t>
                  </w:r>
                </w:p>
              </w:tc>
              <w:tc>
                <w:tcPr>
                  <w:tcW w:w="34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53248A">
                  <w:pPr>
                    <w:pStyle w:val="4"/>
                    <w:ind w:firstLine="482"/>
                    <w:jc w:val="center"/>
                  </w:pPr>
                  <w:r>
                    <w:rPr>
                      <w:rFonts w:ascii="仿宋_GB2312" w:hAnsi="仿宋_GB2312" w:eastAsia="仿宋_GB2312" w:cs="仿宋_GB2312"/>
                      <w:sz w:val="21"/>
                    </w:rPr>
                    <w:t>300</w:t>
                  </w:r>
                </w:p>
              </w:tc>
            </w:tr>
            <w:tr w14:paraId="1AE9F6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690593">
                  <w:pPr>
                    <w:pStyle w:val="4"/>
                    <w:jc w:val="left"/>
                  </w:pPr>
                  <w:r>
                    <w:rPr>
                      <w:rFonts w:ascii="仿宋_GB2312" w:hAnsi="仿宋_GB2312" w:eastAsia="仿宋_GB2312" w:cs="仿宋_GB2312"/>
                      <w:sz w:val="21"/>
                    </w:rPr>
                    <w:t>高级技工</w:t>
                  </w:r>
                </w:p>
              </w:tc>
              <w:tc>
                <w:tcPr>
                  <w:tcW w:w="34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9B18A0">
                  <w:pPr>
                    <w:pStyle w:val="4"/>
                    <w:ind w:firstLine="482"/>
                    <w:jc w:val="center"/>
                  </w:pPr>
                  <w:r>
                    <w:rPr>
                      <w:rFonts w:ascii="仿宋_GB2312" w:hAnsi="仿宋_GB2312" w:eastAsia="仿宋_GB2312" w:cs="仿宋_GB2312"/>
                      <w:sz w:val="21"/>
                    </w:rPr>
                    <w:t>340</w:t>
                  </w:r>
                </w:p>
              </w:tc>
            </w:tr>
            <w:tr w14:paraId="37A962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1585A8">
                  <w:pPr>
                    <w:pStyle w:val="4"/>
                    <w:jc w:val="left"/>
                  </w:pPr>
                  <w:r>
                    <w:rPr>
                      <w:rFonts w:ascii="仿宋_GB2312" w:hAnsi="仿宋_GB2312" w:eastAsia="仿宋_GB2312" w:cs="仿宋_GB2312"/>
                      <w:b/>
                      <w:sz w:val="21"/>
                    </w:rPr>
                    <w:t>预计费用</w:t>
                  </w:r>
                </w:p>
              </w:tc>
              <w:tc>
                <w:tcPr>
                  <w:tcW w:w="34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2F1F8C">
                  <w:pPr>
                    <w:pStyle w:val="4"/>
                    <w:jc w:val="center"/>
                  </w:pPr>
                  <w:r>
                    <w:rPr>
                      <w:rFonts w:ascii="仿宋_GB2312" w:hAnsi="仿宋_GB2312" w:eastAsia="仿宋_GB2312" w:cs="仿宋_GB2312"/>
                      <w:b/>
                      <w:sz w:val="21"/>
                    </w:rPr>
                    <w:t>90万元</w:t>
                  </w:r>
                </w:p>
              </w:tc>
            </w:tr>
          </w:tbl>
          <w:p w14:paraId="043645CE">
            <w:pPr>
              <w:pStyle w:val="4"/>
              <w:ind w:firstLine="420"/>
              <w:jc w:val="both"/>
            </w:pPr>
            <w:r>
              <w:rPr>
                <w:rFonts w:ascii="仿宋_GB2312" w:hAnsi="仿宋_GB2312" w:eastAsia="仿宋_GB2312" w:cs="仿宋_GB2312"/>
                <w:sz w:val="21"/>
              </w:rPr>
              <w:t>10.3结算时限要求：供应商应在次月月底前报送上月维修结算资料，超出期限在1-10天内的每延误一天，从当月最终结算价中扣除500元/天；超出期限在第11-20天内的每延误一天，从当月最终结算价中扣除1000元/天；超出期限在第21-30天内的每延误一天，从当月最终结算价中扣除2000元/天；延误期超出30天的，采购人有权不予接收上月维修结算资料，有权按相关规定与成交供应商解除合同。</w:t>
            </w:r>
          </w:p>
          <w:p w14:paraId="59F89DA2">
            <w:pPr>
              <w:pStyle w:val="4"/>
              <w:ind w:firstLine="480"/>
              <w:jc w:val="both"/>
            </w:pPr>
            <w:r>
              <w:rPr>
                <w:rFonts w:ascii="仿宋_GB2312" w:hAnsi="仿宋_GB2312" w:eastAsia="仿宋_GB2312" w:cs="仿宋_GB2312"/>
                <w:sz w:val="21"/>
              </w:rPr>
              <w:t>11.采购人不承诺供应商在服务期内承接的零星维修的具体数量和额度。</w:t>
            </w:r>
          </w:p>
          <w:p w14:paraId="2E2CE509">
            <w:pPr>
              <w:pStyle w:val="4"/>
              <w:ind w:firstLine="480"/>
              <w:jc w:val="both"/>
            </w:pPr>
            <w:r>
              <w:rPr>
                <w:rFonts w:ascii="仿宋_GB2312" w:hAnsi="仿宋_GB2312" w:eastAsia="仿宋_GB2312" w:cs="仿宋_GB2312"/>
                <w:sz w:val="21"/>
              </w:rPr>
              <w:t>12.本项目供应商在服务时限内承接零星维修项目最终合计结算金额不超过200万元人民币。</w:t>
            </w:r>
          </w:p>
          <w:p w14:paraId="4F1066C1">
            <w:pPr>
              <w:pStyle w:val="4"/>
              <w:ind w:firstLine="480"/>
              <w:jc w:val="both"/>
            </w:pPr>
            <w:r>
              <w:rPr>
                <w:rFonts w:ascii="仿宋_GB2312" w:hAnsi="仿宋_GB2312" w:eastAsia="仿宋_GB2312" w:cs="仿宋_GB2312"/>
                <w:sz w:val="21"/>
              </w:rPr>
              <w:t>13.本项目允许供应商投标（响应）多个包，但一家供应商最多只允许成交1个包。若供应商同时投标（响应）了多个包，需自行确定其优先成交的先后顺序，即供应商须在承诺函中说明优先成交的包号顺序</w:t>
            </w:r>
            <w:r>
              <w:rPr>
                <w:rFonts w:ascii="仿宋_GB2312" w:hAnsi="仿宋_GB2312" w:eastAsia="仿宋_GB2312" w:cs="仿宋_GB2312"/>
                <w:b/>
                <w:sz w:val="21"/>
              </w:rPr>
              <w:t>（提供承诺函，格式自拟，若不涉及参与多个包，无需提供此承诺函）</w:t>
            </w:r>
            <w:r>
              <w:rPr>
                <w:rFonts w:ascii="仿宋_GB2312" w:hAnsi="仿宋_GB2312" w:eastAsia="仿宋_GB2312" w:cs="仿宋_GB2312"/>
                <w:sz w:val="21"/>
              </w:rPr>
              <w:t>；在供应商同时为2个及包的第一成交候选人时，根据优先成交的先后顺序确定成交包号，该供应商为第一成交候选人的其他包号由排名在后的供应商成交，以此类推。</w:t>
            </w:r>
          </w:p>
          <w:p w14:paraId="1BFF2148">
            <w:pPr>
              <w:pStyle w:val="4"/>
              <w:jc w:val="both"/>
            </w:pPr>
            <w:r>
              <w:rPr>
                <w:rFonts w:ascii="仿宋_GB2312" w:hAnsi="仿宋_GB2312" w:eastAsia="仿宋_GB2312" w:cs="仿宋_GB2312"/>
                <w:sz w:val="21"/>
              </w:rPr>
              <w:t>★</w:t>
            </w:r>
            <w:r>
              <w:rPr>
                <w:rFonts w:ascii="仿宋_GB2312" w:hAnsi="仿宋_GB2312" w:eastAsia="仿宋_GB2312" w:cs="仿宋_GB2312"/>
                <w:b/>
                <w:sz w:val="21"/>
              </w:rPr>
              <w:t>四、人员要求</w:t>
            </w:r>
          </w:p>
          <w:p w14:paraId="53F89BB5">
            <w:pPr>
              <w:pStyle w:val="4"/>
              <w:ind w:firstLine="420"/>
              <w:jc w:val="both"/>
            </w:pPr>
            <w:r>
              <w:rPr>
                <w:rFonts w:ascii="仿宋_GB2312" w:hAnsi="仿宋_GB2312" w:eastAsia="仿宋_GB2312" w:cs="仿宋_GB2312"/>
                <w:sz w:val="21"/>
              </w:rPr>
              <w:t>1.供应商投入本项目的项目负责人、技术负责人须为固定人员，若涉及人员调整应当提前15日书面告知采购人并经采购人同意方可更换，更换后的人员应与被更换人员至少具有相同资质。固定人员调整进入施工前应报采购人后勤保障部备案。</w:t>
            </w:r>
          </w:p>
          <w:p w14:paraId="7A0E7A7E">
            <w:pPr>
              <w:pStyle w:val="4"/>
              <w:ind w:firstLine="420"/>
              <w:jc w:val="left"/>
            </w:pPr>
            <w:r>
              <w:rPr>
                <w:rFonts w:ascii="仿宋_GB2312" w:hAnsi="仿宋_GB2312" w:eastAsia="仿宋_GB2312" w:cs="仿宋_GB2312"/>
                <w:sz w:val="21"/>
              </w:rPr>
              <w:t>2.供应商承诺在施工期间严格按照国家安全文明施工相关规范要求施工，特别是涉及特种作业（如高空作业、焊接作业等）的人员应具有相关职业资格证书。（本项在响应文件中提供承诺函并加盖供应商公章，承诺函格式自拟）。</w:t>
            </w:r>
          </w:p>
          <w:p w14:paraId="5B36E9B5">
            <w:pPr>
              <w:pStyle w:val="4"/>
              <w:ind w:firstLine="420"/>
              <w:jc w:val="left"/>
            </w:pPr>
            <w:r>
              <w:rPr>
                <w:rFonts w:ascii="仿宋_GB2312" w:hAnsi="仿宋_GB2312" w:eastAsia="仿宋_GB2312" w:cs="仿宋_GB2312"/>
                <w:sz w:val="21"/>
              </w:rPr>
              <w:t>3.供应商为本项目配备专职技术团队，包含项目负责人、技术负责人、本项目涉及的各相关专业技术人员，以上人员须具有本项目涉及的相关专业技能或资格证书。</w:t>
            </w:r>
          </w:p>
          <w:p w14:paraId="52A62994">
            <w:pPr>
              <w:pStyle w:val="4"/>
              <w:jc w:val="both"/>
            </w:pPr>
            <w:r>
              <w:rPr>
                <w:rFonts w:ascii="仿宋_GB2312" w:hAnsi="仿宋_GB2312" w:eastAsia="仿宋_GB2312" w:cs="仿宋_GB2312"/>
                <w:b/>
                <w:sz w:val="21"/>
              </w:rPr>
              <w:t>五、施工要求与技术要求：</w:t>
            </w:r>
          </w:p>
          <w:p w14:paraId="435F8E9E">
            <w:pPr>
              <w:pStyle w:val="4"/>
              <w:ind w:firstLine="420"/>
              <w:jc w:val="left"/>
            </w:pPr>
            <w:r>
              <w:rPr>
                <w:rFonts w:ascii="仿宋_GB2312" w:hAnsi="仿宋_GB2312" w:eastAsia="仿宋_GB2312" w:cs="仿宋_GB2312"/>
                <w:sz w:val="21"/>
              </w:rPr>
              <w:t>供应商应结合校园维修特点，制定覆盖土建、安装、装饰等多专业日常零星维修的详细技术措施，明确常见故障的标准化处理流程及相应质量验收标准；明确项目负责人、技术负责人、安全员、各专业维修人员的岗位职责与人员配备数量，确保项目负责人常驻现场并能响应紧急维修指令；此外，应编制与维修任务相匹配的人机材配置方案以及常用施工机具、测量仪器和主要维修材料的储备清单、品牌要求、补货渠道及应急供应保障措施，确保在接到维修通知后能快速组织人员、设备和材料进场并一次性修复到位。</w:t>
            </w:r>
          </w:p>
          <w:p w14:paraId="548A9635">
            <w:pPr>
              <w:pStyle w:val="4"/>
              <w:jc w:val="both"/>
            </w:pPr>
            <w:r>
              <w:rPr>
                <w:rFonts w:ascii="仿宋_GB2312" w:hAnsi="仿宋_GB2312" w:eastAsia="仿宋_GB2312" w:cs="仿宋_GB2312"/>
                <w:b/>
                <w:sz w:val="21"/>
              </w:rPr>
              <w:t>六、服务响应组织要求</w:t>
            </w:r>
          </w:p>
          <w:p w14:paraId="281FEE42">
            <w:pPr>
              <w:pStyle w:val="4"/>
              <w:ind w:firstLine="420"/>
              <w:jc w:val="left"/>
            </w:pPr>
            <w:r>
              <w:rPr>
                <w:rFonts w:ascii="仿宋_GB2312" w:hAnsi="仿宋_GB2312" w:eastAsia="仿宋_GB2312" w:cs="仿宋_GB2312"/>
                <w:sz w:val="21"/>
              </w:rPr>
              <w:t>供应商应建立“报修受理—调度派工—现场处置—反馈验收”全流程闭环的服务响应组织体系，明确层级职责与通讯联络机制。按常规维修与应急抢修两类场景响应采购人要求，确保维修任务按时保质完成。</w:t>
            </w:r>
          </w:p>
          <w:p w14:paraId="3794F3FA">
            <w:pPr>
              <w:pStyle w:val="4"/>
              <w:jc w:val="left"/>
            </w:pPr>
            <w:r>
              <w:rPr>
                <w:rFonts w:ascii="仿宋_GB2312" w:hAnsi="仿宋_GB2312" w:eastAsia="仿宋_GB2312" w:cs="仿宋_GB2312"/>
                <w:b/>
                <w:sz w:val="21"/>
              </w:rPr>
              <w:t>七、安全文明保障要求：</w:t>
            </w:r>
          </w:p>
          <w:p w14:paraId="2A3BF462">
            <w:pPr>
              <w:pStyle w:val="4"/>
              <w:ind w:firstLine="420"/>
              <w:jc w:val="left"/>
            </w:pPr>
            <w:r>
              <w:rPr>
                <w:rFonts w:ascii="仿宋_GB2312" w:hAnsi="仿宋_GB2312" w:eastAsia="仿宋_GB2312" w:cs="仿宋_GB2312"/>
                <w:sz w:val="21"/>
              </w:rPr>
              <w:t>供应商应构建安全文明管理体系，明确项目安全责任人。环保安全保证措施需重点针对校园环境特殊性，提出具体方案。文明施工措施须包括作业区域全封闭或半封闭围挡、警示标识设置、工完场清制度，针对处理噪音及污染物的技术措施等，确保施工全过程不影响正常教学秩序与校园环境。</w:t>
            </w:r>
          </w:p>
          <w:p w14:paraId="31BB7E7F">
            <w:pPr>
              <w:pStyle w:val="4"/>
              <w:jc w:val="left"/>
            </w:pPr>
            <w:r>
              <w:rPr>
                <w:rFonts w:ascii="仿宋_GB2312" w:hAnsi="仿宋_GB2312" w:eastAsia="仿宋_GB2312" w:cs="仿宋_GB2312"/>
                <w:b/>
                <w:sz w:val="21"/>
              </w:rPr>
              <w:t>八、质量保证要求：</w:t>
            </w:r>
          </w:p>
          <w:p w14:paraId="082047F8">
            <w:pPr>
              <w:pStyle w:val="4"/>
              <w:ind w:firstLine="420"/>
              <w:jc w:val="left"/>
            </w:pPr>
            <w:r>
              <w:rPr>
                <w:rFonts w:ascii="仿宋_GB2312" w:hAnsi="仿宋_GB2312" w:eastAsia="仿宋_GB2312" w:cs="仿宋_GB2312"/>
                <w:sz w:val="21"/>
              </w:rPr>
              <w:t>供应商应明确质量控制目标，承诺所有维修工程符合国家现行施工质量验收规范及四川轻化工大学制定的零星维修质量标准，杜绝因维修质量问题导致的重复报修或安全隐忧。建立质量管理具体措施，对因施工原因造成的质量问题实行免费返修。</w:t>
            </w:r>
          </w:p>
          <w:p w14:paraId="11B6A96E">
            <w:pPr>
              <w:pStyle w:val="4"/>
              <w:jc w:val="left"/>
            </w:pPr>
            <w:r>
              <w:rPr>
                <w:rFonts w:ascii="仿宋_GB2312" w:hAnsi="仿宋_GB2312" w:eastAsia="仿宋_GB2312" w:cs="仿宋_GB2312"/>
                <w:b/>
                <w:sz w:val="21"/>
              </w:rPr>
              <w:t>九、校园施工要求：</w:t>
            </w:r>
          </w:p>
          <w:p w14:paraId="1BA36A9C">
            <w:pPr>
              <w:pStyle w:val="4"/>
              <w:jc w:val="left"/>
            </w:pPr>
            <w:r>
              <w:rPr>
                <w:rFonts w:ascii="仿宋_GB2312" w:hAnsi="仿宋_GB2312" w:eastAsia="仿宋_GB2312" w:cs="仿宋_GB2312"/>
                <w:sz w:val="21"/>
              </w:rPr>
              <w:t>供应商应结合校园教学、科研、师生生活及大型考试等特殊时段需求，制定精细化的分时施工措施。</w:t>
            </w:r>
          </w:p>
        </w:tc>
      </w:tr>
    </w:tbl>
    <w:p w14:paraId="421E325A">
      <w:pPr>
        <w:pStyle w:val="4"/>
        <w:jc w:val="left"/>
      </w:pPr>
      <w:r>
        <w:rPr>
          <w:rFonts w:ascii="仿宋_GB2312" w:hAnsi="仿宋_GB2312" w:eastAsia="仿宋_GB2312" w:cs="仿宋_GB2312"/>
        </w:rPr>
        <w:t>采购包2：</w:t>
      </w:r>
    </w:p>
    <w:p w14:paraId="7B8C768C">
      <w:pPr>
        <w:pStyle w:val="4"/>
        <w:jc w:val="left"/>
      </w:pPr>
      <w:r>
        <w:rPr>
          <w:rFonts w:ascii="仿宋_GB2312" w:hAnsi="仿宋_GB2312" w:eastAsia="仿宋_GB2312" w:cs="仿宋_GB2312"/>
        </w:rPr>
        <w:t>标的名称：2026年日常零星维修服务(宜宾校区)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BD0C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8F3A2C">
            <w:pPr>
              <w:pStyle w:val="4"/>
              <w:jc w:val="center"/>
            </w:pPr>
            <w:r>
              <w:rPr>
                <w:rFonts w:ascii="仿宋_GB2312" w:hAnsi="仿宋_GB2312" w:eastAsia="仿宋_GB2312" w:cs="仿宋_GB2312"/>
              </w:rPr>
              <w:t>序号</w:t>
            </w:r>
          </w:p>
        </w:tc>
        <w:tc>
          <w:tcPr>
            <w:tcW w:w="581" w:type="dxa"/>
          </w:tcPr>
          <w:p w14:paraId="029A1CCD">
            <w:pPr>
              <w:pStyle w:val="4"/>
              <w:jc w:val="center"/>
            </w:pPr>
            <w:r>
              <w:rPr>
                <w:rFonts w:ascii="仿宋_GB2312" w:hAnsi="仿宋_GB2312" w:eastAsia="仿宋_GB2312" w:cs="仿宋_GB2312"/>
              </w:rPr>
              <w:t>符号标识</w:t>
            </w:r>
          </w:p>
        </w:tc>
        <w:tc>
          <w:tcPr>
            <w:tcW w:w="1495" w:type="dxa"/>
          </w:tcPr>
          <w:p w14:paraId="2D691703">
            <w:pPr>
              <w:pStyle w:val="4"/>
              <w:jc w:val="center"/>
            </w:pPr>
            <w:r>
              <w:rPr>
                <w:rFonts w:ascii="仿宋_GB2312" w:hAnsi="仿宋_GB2312" w:eastAsia="仿宋_GB2312" w:cs="仿宋_GB2312"/>
              </w:rPr>
              <w:t>技术要求名称</w:t>
            </w:r>
          </w:p>
        </w:tc>
        <w:tc>
          <w:tcPr>
            <w:tcW w:w="5814" w:type="dxa"/>
          </w:tcPr>
          <w:p w14:paraId="1C1919DA">
            <w:pPr>
              <w:pStyle w:val="4"/>
              <w:jc w:val="center"/>
            </w:pPr>
            <w:r>
              <w:rPr>
                <w:rFonts w:ascii="仿宋_GB2312" w:hAnsi="仿宋_GB2312" w:eastAsia="仿宋_GB2312" w:cs="仿宋_GB2312"/>
              </w:rPr>
              <w:t>技术参数与性能指标</w:t>
            </w:r>
          </w:p>
        </w:tc>
      </w:tr>
      <w:tr w14:paraId="505AA1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AA4025">
            <w:pPr>
              <w:pStyle w:val="4"/>
              <w:jc w:val="center"/>
            </w:pPr>
            <w:r>
              <w:rPr>
                <w:rFonts w:ascii="仿宋_GB2312" w:hAnsi="仿宋_GB2312" w:eastAsia="仿宋_GB2312" w:cs="仿宋_GB2312"/>
              </w:rPr>
              <w:t>1</w:t>
            </w:r>
          </w:p>
        </w:tc>
        <w:tc>
          <w:tcPr>
            <w:tcW w:w="581" w:type="dxa"/>
          </w:tcPr>
          <w:p w14:paraId="12F176F4"/>
        </w:tc>
        <w:tc>
          <w:tcPr>
            <w:tcW w:w="1495" w:type="dxa"/>
          </w:tcPr>
          <w:p w14:paraId="616F5118">
            <w:pPr>
              <w:pStyle w:val="4"/>
              <w:jc w:val="left"/>
            </w:pPr>
            <w:r>
              <w:rPr>
                <w:rFonts w:ascii="仿宋_GB2312" w:hAnsi="仿宋_GB2312" w:eastAsia="仿宋_GB2312" w:cs="仿宋_GB2312"/>
              </w:rPr>
              <w:t>服务要求</w:t>
            </w:r>
          </w:p>
        </w:tc>
        <w:tc>
          <w:tcPr>
            <w:tcW w:w="5814" w:type="dxa"/>
          </w:tcPr>
          <w:p w14:paraId="10A05F64">
            <w:pPr>
              <w:pStyle w:val="4"/>
              <w:jc w:val="both"/>
            </w:pPr>
            <w:r>
              <w:rPr>
                <w:rFonts w:ascii="仿宋_GB2312" w:hAnsi="仿宋_GB2312" w:eastAsia="仿宋_GB2312" w:cs="仿宋_GB2312"/>
                <w:sz w:val="21"/>
              </w:rPr>
              <w:t>★</w:t>
            </w:r>
            <w:r>
              <w:rPr>
                <w:rFonts w:ascii="仿宋_GB2312" w:hAnsi="仿宋_GB2312" w:eastAsia="仿宋_GB2312" w:cs="仿宋_GB2312"/>
                <w:b/>
                <w:sz w:val="21"/>
              </w:rPr>
              <w:t>一、服务内容及要求</w:t>
            </w:r>
          </w:p>
          <w:p w14:paraId="57879E4F">
            <w:pPr>
              <w:pStyle w:val="4"/>
              <w:ind w:firstLine="420"/>
              <w:jc w:val="both"/>
            </w:pPr>
            <w:r>
              <w:rPr>
                <w:rFonts w:ascii="仿宋_GB2312" w:hAnsi="仿宋_GB2312" w:eastAsia="仿宋_GB2312" w:cs="仿宋_GB2312"/>
                <w:sz w:val="21"/>
              </w:rPr>
              <w:t>根据采购人需求，供应商及时响应进行维修处理，实际情况以采购人委托为准，并按照采购人相关部门的要求，办理</w:t>
            </w:r>
            <w:r>
              <w:rPr>
                <w:rFonts w:ascii="仿宋_GB2312" w:hAnsi="仿宋_GB2312" w:eastAsia="仿宋_GB2312" w:cs="仿宋_GB2312"/>
                <w:sz w:val="19"/>
              </w:rPr>
              <w:t>零星维修所需的相关手续及资料，组织并完成零星修缮服务。</w:t>
            </w:r>
          </w:p>
          <w:p w14:paraId="4109B3F7">
            <w:pPr>
              <w:pStyle w:val="4"/>
              <w:jc w:val="both"/>
            </w:pPr>
            <w:r>
              <w:rPr>
                <w:rFonts w:ascii="仿宋_GB2312" w:hAnsi="仿宋_GB2312" w:eastAsia="仿宋_GB2312" w:cs="仿宋_GB2312"/>
                <w:sz w:val="21"/>
              </w:rPr>
              <w:t>★</w:t>
            </w:r>
            <w:r>
              <w:rPr>
                <w:rFonts w:ascii="仿宋_GB2312" w:hAnsi="仿宋_GB2312" w:eastAsia="仿宋_GB2312" w:cs="仿宋_GB2312"/>
                <w:b/>
                <w:sz w:val="21"/>
              </w:rPr>
              <w:t>二、服务要求</w:t>
            </w:r>
          </w:p>
          <w:p w14:paraId="1F5A9C7C">
            <w:pPr>
              <w:pStyle w:val="4"/>
              <w:ind w:firstLine="420"/>
              <w:jc w:val="both"/>
            </w:pPr>
            <w:r>
              <w:rPr>
                <w:rFonts w:ascii="仿宋_GB2312" w:hAnsi="仿宋_GB2312" w:eastAsia="仿宋_GB2312" w:cs="仿宋_GB2312"/>
                <w:sz w:val="21"/>
              </w:rPr>
              <w:t>1.施工材料、设备由供应商自行负责，采购人不提供库房存放，施工材料的堆放应符合采购人要求，并在施工材料堆放位置设置醒目的警示、提醒标志。</w:t>
            </w:r>
          </w:p>
          <w:p w14:paraId="3B795F5E">
            <w:pPr>
              <w:pStyle w:val="4"/>
              <w:ind w:firstLine="420"/>
              <w:jc w:val="both"/>
            </w:pPr>
            <w:r>
              <w:rPr>
                <w:rFonts w:ascii="仿宋_GB2312" w:hAnsi="仿宋_GB2312" w:eastAsia="仿宋_GB2312" w:cs="仿宋_GB2312"/>
                <w:sz w:val="21"/>
              </w:rPr>
              <w:t>2.安全要求</w:t>
            </w:r>
          </w:p>
          <w:p w14:paraId="75C96981">
            <w:pPr>
              <w:pStyle w:val="4"/>
              <w:ind w:firstLine="420"/>
              <w:jc w:val="both"/>
            </w:pPr>
            <w:r>
              <w:rPr>
                <w:rFonts w:ascii="仿宋_GB2312" w:hAnsi="仿宋_GB2312" w:eastAsia="仿宋_GB2312" w:cs="仿宋_GB2312"/>
                <w:sz w:val="21"/>
              </w:rPr>
              <w:t>2.1供应商必须保证施工现场和人员安全，由于自身安全措施不力造成事故的责任和因此发生的费用，由供应商自行承担，供应商造成采购人或第三方财物损失的，须按原价赔偿并承担相关法律责任。</w:t>
            </w:r>
          </w:p>
          <w:p w14:paraId="76C7A145">
            <w:pPr>
              <w:pStyle w:val="4"/>
              <w:ind w:firstLine="422"/>
              <w:jc w:val="both"/>
            </w:pPr>
            <w:r>
              <w:rPr>
                <w:rFonts w:ascii="仿宋_GB2312" w:hAnsi="仿宋_GB2312" w:eastAsia="仿宋_GB2312" w:cs="仿宋_GB2312"/>
                <w:b/>
                <w:sz w:val="21"/>
              </w:rPr>
              <w:t>2.2安全技术交底：</w:t>
            </w:r>
            <w:r>
              <w:rPr>
                <w:rFonts w:ascii="仿宋_GB2312" w:hAnsi="仿宋_GB2312" w:eastAsia="仿宋_GB2312" w:cs="仿宋_GB2312"/>
                <w:sz w:val="21"/>
              </w:rPr>
              <w:t>每项维修服务开始前，供应商项目负责人必须对施工班组进行安全技术交底，明确作业风险、防护措施和应急处理流程。</w:t>
            </w:r>
          </w:p>
          <w:p w14:paraId="1902F1AC">
            <w:pPr>
              <w:pStyle w:val="4"/>
              <w:ind w:firstLine="422"/>
              <w:jc w:val="both"/>
            </w:pPr>
            <w:r>
              <w:rPr>
                <w:rFonts w:ascii="仿宋_GB2312" w:hAnsi="仿宋_GB2312" w:eastAsia="仿宋_GB2312" w:cs="仿宋_GB2312"/>
                <w:b/>
                <w:sz w:val="21"/>
              </w:rPr>
              <w:t>2.3安全投入保障：</w:t>
            </w:r>
            <w:r>
              <w:rPr>
                <w:rFonts w:ascii="仿宋_GB2312" w:hAnsi="仿宋_GB2312" w:eastAsia="仿宋_GB2312" w:cs="仿宋_GB2312"/>
                <w:sz w:val="21"/>
              </w:rPr>
              <w:t>供应商应确保安全防护、劳动防护用品（安全帽、安全带、防护手套、绝缘鞋等）配备到位，费用由供应商自行承担。未按规定配备的，采购人有权责令停工整改。</w:t>
            </w:r>
          </w:p>
          <w:p w14:paraId="6D9ECBEF">
            <w:pPr>
              <w:pStyle w:val="4"/>
              <w:ind w:firstLine="420"/>
              <w:jc w:val="both"/>
            </w:pPr>
            <w:r>
              <w:rPr>
                <w:rFonts w:ascii="仿宋_GB2312" w:hAnsi="仿宋_GB2312" w:eastAsia="仿宋_GB2312" w:cs="仿宋_GB2312"/>
                <w:sz w:val="21"/>
              </w:rPr>
              <w:t>2.4涉及校园主干道、出入口、学生宿舍区等重点区域的施工，供应商必须提前制定交通疏导方案，并报采购人批准。</w:t>
            </w:r>
          </w:p>
          <w:p w14:paraId="599D2512">
            <w:pPr>
              <w:pStyle w:val="4"/>
              <w:ind w:firstLine="420"/>
              <w:jc w:val="both"/>
            </w:pPr>
            <w:r>
              <w:rPr>
                <w:rFonts w:ascii="仿宋_GB2312" w:hAnsi="仿宋_GB2312" w:eastAsia="仿宋_GB2312" w:cs="仿宋_GB2312"/>
                <w:sz w:val="21"/>
              </w:rPr>
              <w:t>2.5若涉及动火作业，供应商须遵守国家相关规定，提前报备，每日施工结束后，供应商应组织检查现场，确认无火源隐患后方可离场。</w:t>
            </w:r>
          </w:p>
          <w:p w14:paraId="054807A2">
            <w:pPr>
              <w:pStyle w:val="4"/>
              <w:ind w:firstLine="420"/>
              <w:jc w:val="both"/>
            </w:pPr>
            <w:r>
              <w:rPr>
                <w:rFonts w:ascii="仿宋_GB2312" w:hAnsi="仿宋_GB2312" w:eastAsia="仿宋_GB2312" w:cs="仿宋_GB2312"/>
                <w:sz w:val="21"/>
              </w:rPr>
              <w:t>2.6其他未列明的安全要求，供应商须严格按照国家相关标准执行。</w:t>
            </w:r>
          </w:p>
          <w:p w14:paraId="01912C9F">
            <w:pPr>
              <w:pStyle w:val="4"/>
              <w:ind w:firstLine="420"/>
              <w:jc w:val="both"/>
            </w:pPr>
            <w:r>
              <w:rPr>
                <w:rFonts w:ascii="仿宋_GB2312" w:hAnsi="仿宋_GB2312" w:eastAsia="仿宋_GB2312" w:cs="仿宋_GB2312"/>
                <w:sz w:val="21"/>
              </w:rPr>
              <w:t>3.工程材料应提供符合国家质检部门及生产厂商的质量要求的全新货物，且均须通过采购人认可。若在项目实施过程中所涉及须使用国家强制节能产品的，供应商须使用强制节能产品，并向采购人提供节能认证证书。若涉及使用优先采购节能或优先采购环保标识产品的，供应商需尽量使用节能产品和环保标志产品。</w:t>
            </w:r>
          </w:p>
          <w:p w14:paraId="359C3EFC">
            <w:pPr>
              <w:pStyle w:val="4"/>
              <w:ind w:firstLine="420"/>
              <w:jc w:val="both"/>
            </w:pPr>
            <w:r>
              <w:rPr>
                <w:rFonts w:ascii="仿宋_GB2312" w:hAnsi="仿宋_GB2312" w:eastAsia="仿宋_GB2312" w:cs="仿宋_GB2312"/>
                <w:sz w:val="21"/>
              </w:rPr>
              <w:t>4.隐蔽工程应符合国家工程竣工验收的规定并留存影像资料。</w:t>
            </w:r>
          </w:p>
          <w:p w14:paraId="0AC7BCDC">
            <w:pPr>
              <w:pStyle w:val="4"/>
              <w:ind w:firstLine="420"/>
              <w:jc w:val="both"/>
            </w:pPr>
            <w:r>
              <w:rPr>
                <w:rFonts w:ascii="仿宋_GB2312" w:hAnsi="仿宋_GB2312" w:eastAsia="仿宋_GB2312" w:cs="仿宋_GB2312"/>
                <w:sz w:val="21"/>
              </w:rPr>
              <w:t>5.工程现场管理要求：</w:t>
            </w:r>
          </w:p>
          <w:p w14:paraId="54F35E38">
            <w:pPr>
              <w:pStyle w:val="4"/>
              <w:ind w:firstLine="420"/>
              <w:jc w:val="left"/>
            </w:pPr>
            <w:r>
              <w:rPr>
                <w:rFonts w:ascii="仿宋_GB2312" w:hAnsi="仿宋_GB2312" w:eastAsia="仿宋_GB2312" w:cs="仿宋_GB2312"/>
                <w:sz w:val="21"/>
                <w:shd w:val="clear" w:fill="FFFFFF"/>
              </w:rPr>
              <w:t>5.1 供应商需根据采购人需求，报出维修相关解决方案，经采购人审核同意后方能施工。</w:t>
            </w:r>
          </w:p>
          <w:p w14:paraId="7CCF79EE">
            <w:pPr>
              <w:pStyle w:val="4"/>
              <w:ind w:firstLine="420"/>
              <w:jc w:val="both"/>
            </w:pPr>
            <w:r>
              <w:rPr>
                <w:rFonts w:ascii="仿宋_GB2312" w:hAnsi="仿宋_GB2312" w:eastAsia="仿宋_GB2312" w:cs="仿宋_GB2312"/>
                <w:sz w:val="21"/>
              </w:rPr>
              <w:t>5.2 供应商全面负责维修服务项目工程质量、安全、进度、文明施工等工作，及时通知采购人相关部门办理各种签证、收集工程资料文件等（工程中涉及拆除、变更的必须有拍照并签证，并绘制准确合理的工程图纸（草图），若无供应商、监理单位（若涉及）和采购人现场代表签证，将不予认可）。</w:t>
            </w:r>
          </w:p>
          <w:p w14:paraId="2E6F3B5C">
            <w:pPr>
              <w:pStyle w:val="4"/>
              <w:ind w:firstLine="420"/>
              <w:jc w:val="both"/>
            </w:pPr>
            <w:r>
              <w:rPr>
                <w:rFonts w:ascii="仿宋_GB2312" w:hAnsi="仿宋_GB2312" w:eastAsia="仿宋_GB2312" w:cs="仿宋_GB2312"/>
                <w:sz w:val="21"/>
              </w:rPr>
              <w:t>5.3严格执行有关维修服务施工现场管理的规定，不得扰民及污染环境。遵守国家或地方政府及采购人对施工现场管理的规定，妥善保护好施工现场周围建筑物、设备管线、植物草坪和其他公共财物，做好施工现场保护和垃圾消纳等工作。供应商必须保证施工现场的环境卫生清洁，不得在校内倾倒建渣，建筑垃圾由供应商运到校外合法倒场倾倒，原则上当日产生的建渣当日处理完毕。</w:t>
            </w:r>
          </w:p>
          <w:p w14:paraId="22A04335">
            <w:pPr>
              <w:pStyle w:val="4"/>
              <w:ind w:firstLine="420"/>
              <w:jc w:val="both"/>
            </w:pPr>
            <w:r>
              <w:rPr>
                <w:rFonts w:ascii="仿宋_GB2312" w:hAnsi="仿宋_GB2312" w:eastAsia="仿宋_GB2312" w:cs="仿宋_GB2312"/>
                <w:sz w:val="21"/>
              </w:rPr>
              <w:t>5.4供应商必须接受采购人关于校园工程、物业相关管理办法的管理。</w:t>
            </w:r>
          </w:p>
          <w:p w14:paraId="58E5ECF6">
            <w:pPr>
              <w:pStyle w:val="4"/>
              <w:ind w:firstLine="420"/>
              <w:jc w:val="both"/>
            </w:pPr>
            <w:r>
              <w:rPr>
                <w:rFonts w:ascii="仿宋_GB2312" w:hAnsi="仿宋_GB2312" w:eastAsia="仿宋_GB2312" w:cs="仿宋_GB2312"/>
                <w:sz w:val="21"/>
              </w:rPr>
              <w:t>6.工期的约定：</w:t>
            </w:r>
          </w:p>
          <w:p w14:paraId="0A9920BF">
            <w:pPr>
              <w:pStyle w:val="4"/>
              <w:ind w:firstLine="420"/>
              <w:jc w:val="both"/>
            </w:pPr>
            <w:r>
              <w:rPr>
                <w:rFonts w:ascii="仿宋_GB2312" w:hAnsi="仿宋_GB2312" w:eastAsia="仿宋_GB2312" w:cs="仿宋_GB2312"/>
                <w:sz w:val="21"/>
              </w:rPr>
              <w:t>6.1 工期视具体项目而定，应急工程应立即施工，尽量缩短工期。</w:t>
            </w:r>
          </w:p>
          <w:p w14:paraId="544D6D07">
            <w:pPr>
              <w:pStyle w:val="4"/>
              <w:ind w:firstLine="420"/>
              <w:jc w:val="both"/>
            </w:pPr>
            <w:r>
              <w:rPr>
                <w:rFonts w:ascii="仿宋_GB2312" w:hAnsi="仿宋_GB2312" w:eastAsia="仿宋_GB2312" w:cs="仿宋_GB2312"/>
                <w:sz w:val="21"/>
              </w:rPr>
              <w:t>6.2 对以下原因造成竣工日期延误，经采购人书面确认，工期可相应顺延：</w:t>
            </w:r>
          </w:p>
          <w:p w14:paraId="166C4C5D">
            <w:pPr>
              <w:pStyle w:val="4"/>
              <w:ind w:firstLine="420"/>
              <w:jc w:val="both"/>
            </w:pPr>
            <w:r>
              <w:rPr>
                <w:rFonts w:ascii="仿宋_GB2312" w:hAnsi="仿宋_GB2312" w:eastAsia="仿宋_GB2312" w:cs="仿宋_GB2312"/>
                <w:sz w:val="21"/>
              </w:rPr>
              <w:t>（1）工程量变化和设计变更；</w:t>
            </w:r>
          </w:p>
          <w:p w14:paraId="59D3564C">
            <w:pPr>
              <w:pStyle w:val="4"/>
              <w:ind w:firstLine="420"/>
              <w:jc w:val="both"/>
            </w:pPr>
            <w:r>
              <w:rPr>
                <w:rFonts w:ascii="仿宋_GB2312" w:hAnsi="仿宋_GB2312" w:eastAsia="仿宋_GB2312" w:cs="仿宋_GB2312"/>
                <w:sz w:val="21"/>
              </w:rPr>
              <w:t>（2）不可抗力（如地震）；</w:t>
            </w:r>
          </w:p>
          <w:p w14:paraId="4841AE2F">
            <w:pPr>
              <w:pStyle w:val="4"/>
              <w:ind w:firstLine="420"/>
              <w:jc w:val="both"/>
            </w:pPr>
            <w:r>
              <w:rPr>
                <w:rFonts w:ascii="仿宋_GB2312" w:hAnsi="仿宋_GB2312" w:eastAsia="仿宋_GB2312" w:cs="仿宋_GB2312"/>
                <w:sz w:val="21"/>
              </w:rPr>
              <w:t>（3）采购人同意工期顺延的其他情况；</w:t>
            </w:r>
          </w:p>
          <w:p w14:paraId="5DA9E18C">
            <w:pPr>
              <w:pStyle w:val="4"/>
              <w:ind w:firstLine="420"/>
              <w:jc w:val="both"/>
            </w:pPr>
            <w:r>
              <w:rPr>
                <w:rFonts w:ascii="仿宋_GB2312" w:hAnsi="仿宋_GB2312" w:eastAsia="仿宋_GB2312" w:cs="仿宋_GB2312"/>
                <w:sz w:val="21"/>
              </w:rPr>
              <w:t>6.3 因供应商供材或施工等原因不能按期完工的，工期不顺延；因供应商原因造成工程质量存在问题的，返工费用由供应商承担，工期不顺延。因供应商原因致使工期无法准时完成的，供应商应承担对采购人造成的一切损失。</w:t>
            </w:r>
          </w:p>
          <w:p w14:paraId="15DEBF94">
            <w:pPr>
              <w:pStyle w:val="4"/>
              <w:ind w:firstLine="420"/>
              <w:jc w:val="both"/>
            </w:pPr>
            <w:r>
              <w:rPr>
                <w:rFonts w:ascii="仿宋_GB2312" w:hAnsi="仿宋_GB2312" w:eastAsia="仿宋_GB2312" w:cs="仿宋_GB2312"/>
                <w:sz w:val="21"/>
              </w:rPr>
              <w:t>7.保险：</w:t>
            </w:r>
          </w:p>
          <w:p w14:paraId="785B1702">
            <w:pPr>
              <w:pStyle w:val="4"/>
              <w:ind w:firstLine="420"/>
              <w:jc w:val="both"/>
            </w:pPr>
            <w:r>
              <w:rPr>
                <w:rFonts w:ascii="仿宋_GB2312" w:hAnsi="仿宋_GB2312" w:eastAsia="仿宋_GB2312" w:cs="仿宋_GB2312"/>
                <w:sz w:val="21"/>
              </w:rPr>
              <w:t>7.1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w:t>
            </w:r>
          </w:p>
          <w:p w14:paraId="6A6355E0">
            <w:pPr>
              <w:pStyle w:val="4"/>
              <w:ind w:firstLine="420"/>
              <w:jc w:val="both"/>
            </w:pPr>
            <w:r>
              <w:rPr>
                <w:rFonts w:ascii="仿宋_GB2312" w:hAnsi="仿宋_GB2312" w:eastAsia="仿宋_GB2312" w:cs="仿宋_GB2312"/>
                <w:sz w:val="21"/>
              </w:rPr>
              <w:t>7.2供应商应为本项目提供履约的所有人员按照国家规定购买相关保险。</w:t>
            </w:r>
          </w:p>
          <w:p w14:paraId="7F2BB42D">
            <w:pPr>
              <w:pStyle w:val="4"/>
              <w:ind w:firstLine="420"/>
              <w:jc w:val="both"/>
            </w:pPr>
            <w:r>
              <w:rPr>
                <w:rFonts w:ascii="仿宋_GB2312" w:hAnsi="仿宋_GB2312" w:eastAsia="仿宋_GB2312" w:cs="仿宋_GB2312"/>
                <w:sz w:val="21"/>
                <w:shd w:val="clear" w:fill="FFFFFF"/>
              </w:rPr>
              <w:t>7.3供应商应为本项目购买公众责任险。</w:t>
            </w:r>
          </w:p>
          <w:p w14:paraId="6349ED8B">
            <w:pPr>
              <w:pStyle w:val="4"/>
              <w:jc w:val="both"/>
            </w:pPr>
            <w:r>
              <w:rPr>
                <w:rFonts w:ascii="仿宋_GB2312" w:hAnsi="仿宋_GB2312" w:eastAsia="仿宋_GB2312" w:cs="仿宋_GB2312"/>
                <w:sz w:val="21"/>
              </w:rPr>
              <w:t>★</w:t>
            </w:r>
            <w:r>
              <w:rPr>
                <w:rFonts w:ascii="仿宋_GB2312" w:hAnsi="仿宋_GB2312" w:eastAsia="仿宋_GB2312" w:cs="仿宋_GB2312"/>
                <w:b/>
                <w:sz w:val="21"/>
              </w:rPr>
              <w:t>三、其他要求</w:t>
            </w:r>
          </w:p>
          <w:p w14:paraId="745A8938">
            <w:pPr>
              <w:pStyle w:val="4"/>
              <w:ind w:firstLine="420"/>
              <w:jc w:val="both"/>
            </w:pPr>
            <w:r>
              <w:rPr>
                <w:rFonts w:ascii="仿宋_GB2312" w:hAnsi="仿宋_GB2312" w:eastAsia="仿宋_GB2312" w:cs="仿宋_GB2312"/>
                <w:sz w:val="21"/>
              </w:rPr>
              <w:t>1.供应商遵守采购人规章制度和相关法律法规。工作期间着装规范、整洁。人员、车辆等必须遵守采购人规定。</w:t>
            </w:r>
          </w:p>
          <w:p w14:paraId="5026C576">
            <w:pPr>
              <w:pStyle w:val="4"/>
              <w:ind w:firstLine="420"/>
              <w:jc w:val="both"/>
            </w:pPr>
            <w:r>
              <w:rPr>
                <w:rFonts w:ascii="仿宋_GB2312" w:hAnsi="仿宋_GB2312" w:eastAsia="仿宋_GB2312" w:cs="仿宋_GB2312"/>
                <w:sz w:val="21"/>
              </w:rPr>
              <w:t>2.在采购人后勤保障部能源管理服务中心零星维修现场管理人员的安排下开展工作。</w:t>
            </w:r>
          </w:p>
          <w:p w14:paraId="11D3128E">
            <w:pPr>
              <w:pStyle w:val="4"/>
              <w:ind w:firstLine="420"/>
              <w:jc w:val="both"/>
            </w:pPr>
            <w:r>
              <w:rPr>
                <w:rFonts w:ascii="仿宋_GB2312" w:hAnsi="仿宋_GB2312" w:eastAsia="仿宋_GB2312" w:cs="仿宋_GB2312"/>
                <w:sz w:val="21"/>
              </w:rPr>
              <w:t>3.严禁私自收取采购人师生维修服务费用。严禁向采购人管理人员进行拉拢、行贿。</w:t>
            </w:r>
          </w:p>
          <w:p w14:paraId="499C28DF">
            <w:pPr>
              <w:pStyle w:val="4"/>
              <w:ind w:firstLine="420"/>
              <w:jc w:val="both"/>
            </w:pPr>
            <w:r>
              <w:rPr>
                <w:rFonts w:ascii="仿宋_GB2312" w:hAnsi="仿宋_GB2312" w:eastAsia="仿宋_GB2312" w:cs="仿宋_GB2312"/>
                <w:sz w:val="21"/>
              </w:rPr>
              <w:t>4.强化安全生产意识，主动发现、排除安全隐患。发现安全隐患及时报告采购人后勤保障部相关负责人和项目负责人。</w:t>
            </w:r>
          </w:p>
          <w:p w14:paraId="557CDC56">
            <w:pPr>
              <w:pStyle w:val="4"/>
              <w:ind w:firstLine="420"/>
              <w:jc w:val="both"/>
            </w:pPr>
            <w:r>
              <w:rPr>
                <w:rFonts w:ascii="仿宋_GB2312" w:hAnsi="仿宋_GB2312" w:eastAsia="仿宋_GB2312" w:cs="仿宋_GB2312"/>
                <w:sz w:val="21"/>
              </w:rPr>
              <w:t>5.做好现场安全防护施工现场警示牌及标识。严格按照操作规程进行施工，杜绝一切安全事故发生。</w:t>
            </w:r>
          </w:p>
          <w:p w14:paraId="33D35AEB">
            <w:pPr>
              <w:pStyle w:val="4"/>
              <w:ind w:firstLine="420"/>
              <w:jc w:val="both"/>
            </w:pPr>
            <w:r>
              <w:rPr>
                <w:rFonts w:ascii="仿宋_GB2312" w:hAnsi="仿宋_GB2312" w:eastAsia="仿宋_GB2312" w:cs="仿宋_GB2312"/>
                <w:sz w:val="21"/>
              </w:rPr>
              <w:t>6.响应时间</w:t>
            </w:r>
          </w:p>
          <w:p w14:paraId="7672479C">
            <w:pPr>
              <w:pStyle w:val="4"/>
              <w:ind w:firstLine="420"/>
              <w:jc w:val="both"/>
            </w:pPr>
            <w:r>
              <w:rPr>
                <w:rFonts w:ascii="仿宋_GB2312" w:hAnsi="仿宋_GB2312" w:eastAsia="仿宋_GB2312" w:cs="仿宋_GB2312"/>
                <w:sz w:val="21"/>
              </w:rPr>
              <w:t>6.1接到采购人修缮通知后，需做预算的项目，48小时完成预算编制。</w:t>
            </w:r>
          </w:p>
          <w:p w14:paraId="4864B29D">
            <w:pPr>
              <w:pStyle w:val="4"/>
              <w:ind w:firstLine="420"/>
              <w:jc w:val="both"/>
            </w:pPr>
            <w:r>
              <w:rPr>
                <w:rFonts w:ascii="仿宋_GB2312" w:hAnsi="仿宋_GB2312" w:eastAsia="仿宋_GB2312" w:cs="仿宋_GB2312"/>
                <w:sz w:val="21"/>
              </w:rPr>
              <w:t>6.2一般维修不超过24小时，特殊情况，与采购人后勤保障部共同确定工期。不得随意超出规定时间。</w:t>
            </w:r>
          </w:p>
          <w:p w14:paraId="7B479D57">
            <w:pPr>
              <w:pStyle w:val="4"/>
              <w:ind w:firstLine="420"/>
              <w:jc w:val="both"/>
            </w:pPr>
            <w:r>
              <w:rPr>
                <w:rFonts w:ascii="仿宋_GB2312" w:hAnsi="仿宋_GB2312" w:eastAsia="仿宋_GB2312" w:cs="仿宋_GB2312"/>
                <w:sz w:val="21"/>
              </w:rPr>
              <w:t>6.3若接到采购人应急处理事件，须在接到采购人通知后立即赶赴现场。</w:t>
            </w:r>
          </w:p>
          <w:p w14:paraId="397C8BBE">
            <w:pPr>
              <w:pStyle w:val="4"/>
              <w:ind w:firstLine="420"/>
              <w:jc w:val="both"/>
            </w:pPr>
            <w:r>
              <w:rPr>
                <w:rFonts w:ascii="仿宋_GB2312" w:hAnsi="仿宋_GB2312" w:eastAsia="仿宋_GB2312" w:cs="仿宋_GB2312"/>
                <w:sz w:val="21"/>
              </w:rPr>
              <w:t>7.做到精细维修，严禁偷工减料，无正当理由同一个内容不得反复维修。维修质保期按照国家相关规定执行。</w:t>
            </w:r>
          </w:p>
          <w:p w14:paraId="6CD40C7F">
            <w:pPr>
              <w:pStyle w:val="4"/>
              <w:ind w:firstLine="420"/>
              <w:jc w:val="both"/>
            </w:pPr>
            <w:r>
              <w:rPr>
                <w:rFonts w:ascii="仿宋_GB2312" w:hAnsi="仿宋_GB2312" w:eastAsia="仿宋_GB2312" w:cs="仿宋_GB2312"/>
                <w:sz w:val="21"/>
              </w:rPr>
              <w:t>8.供应商不服从采购人管理或未遵守相关规定的，采购人师生有权向采购人反映、投诉，情节严重者，采购人有权与供应商无条件解除合同。</w:t>
            </w:r>
          </w:p>
          <w:p w14:paraId="3454D3B7">
            <w:pPr>
              <w:pStyle w:val="4"/>
              <w:ind w:firstLine="420"/>
              <w:jc w:val="both"/>
            </w:pPr>
            <w:r>
              <w:rPr>
                <w:rFonts w:ascii="仿宋_GB2312" w:hAnsi="仿宋_GB2312" w:eastAsia="仿宋_GB2312" w:cs="仿宋_GB2312"/>
                <w:sz w:val="21"/>
              </w:rPr>
              <w:t>9.报价要求</w:t>
            </w:r>
          </w:p>
          <w:p w14:paraId="44E426BC">
            <w:pPr>
              <w:pStyle w:val="4"/>
              <w:ind w:firstLine="420"/>
              <w:jc w:val="both"/>
            </w:pPr>
            <w:r>
              <w:rPr>
                <w:rFonts w:ascii="仿宋_GB2312" w:hAnsi="仿宋_GB2312" w:eastAsia="仿宋_GB2312" w:cs="仿宋_GB2312"/>
                <w:sz w:val="21"/>
              </w:rPr>
              <w:t>9.1本项目采用结算率的报价形式，0%＜结算率≦100%。</w:t>
            </w:r>
          </w:p>
          <w:p w14:paraId="34C6F30C">
            <w:pPr>
              <w:pStyle w:val="4"/>
              <w:ind w:firstLine="420"/>
              <w:jc w:val="both"/>
            </w:pPr>
            <w:r>
              <w:rPr>
                <w:rFonts w:ascii="仿宋_GB2312" w:hAnsi="仿宋_GB2312" w:eastAsia="仿宋_GB2312" w:cs="仿宋_GB2312"/>
                <w:sz w:val="21"/>
              </w:rPr>
              <w:t>9.2本项目采用结算率报价，供应商的报价是本次采购的所有维修服务项目的计算结算暂定价的基础上按统一结算率结算。以磋商文件规定的计算结算暂定价确定方式作为基准，结算价格=计算结算暂定价×成交结算率+市场价询价材料价。例如：成交结算率为90%，经确定的计算结算暂定价为10000.00元，且不涉及市场价询价材料价的情况下，结算价格=10000元×90%=9000元。</w:t>
            </w:r>
          </w:p>
          <w:p w14:paraId="2E7E6911">
            <w:pPr>
              <w:pStyle w:val="4"/>
              <w:ind w:firstLine="420"/>
              <w:jc w:val="both"/>
            </w:pPr>
            <w:r>
              <w:rPr>
                <w:rFonts w:ascii="仿宋_GB2312" w:hAnsi="仿宋_GB2312" w:eastAsia="仿宋_GB2312" w:cs="仿宋_GB2312"/>
                <w:sz w:val="21"/>
              </w:rPr>
              <w:t>10.结算要求</w:t>
            </w:r>
          </w:p>
          <w:p w14:paraId="7EE6522F">
            <w:pPr>
              <w:pStyle w:val="4"/>
              <w:ind w:firstLine="422"/>
              <w:jc w:val="left"/>
            </w:pPr>
            <w:r>
              <w:rPr>
                <w:rFonts w:ascii="仿宋_GB2312" w:hAnsi="仿宋_GB2312" w:eastAsia="仿宋_GB2312" w:cs="仿宋_GB2312"/>
                <w:b/>
                <w:sz w:val="21"/>
              </w:rPr>
              <w:t>10.1以工程量计价进行结算项目：</w:t>
            </w:r>
            <w:r>
              <w:rPr>
                <w:rFonts w:ascii="仿宋_GB2312" w:hAnsi="仿宋_GB2312" w:eastAsia="仿宋_GB2312" w:cs="仿宋_GB2312"/>
                <w:sz w:val="21"/>
              </w:rPr>
              <w:t>单次单项日常零星维修造价在3000元以上的项目，根据实际工作量按项目所适用的定额套项，按照GB50500-2013《建设工程工程量清单计价规范》、2020年《四川省建设工程工程量清单计价定额》及相关配套文件等进行组价，安全文明施工费按基本费率计取，规费、税费按相关规定计取；</w:t>
            </w:r>
            <w:r>
              <w:rPr>
                <w:rFonts w:ascii="仿宋_GB2312" w:hAnsi="仿宋_GB2312" w:eastAsia="仿宋_GB2312" w:cs="仿宋_GB2312"/>
                <w:sz w:val="19"/>
              </w:rPr>
              <w:t>材料价格采用工程实施当月宜宾市造价站或四川省发布的市场价格信息主刊不含进项税价格</w:t>
            </w:r>
            <w:r>
              <w:rPr>
                <w:rFonts w:ascii="仿宋_GB2312" w:hAnsi="仿宋_GB2312" w:eastAsia="仿宋_GB2312" w:cs="仿宋_GB2312"/>
                <w:sz w:val="21"/>
              </w:rPr>
              <w:t>，计算为结算暂定价。其中信息价中没有的材料价格按宜宾市市场价询价（不含进项税价格），市场价询价材料价不作下浮，结算暂定价经采购人或第三方造价咨询机构审核后的决算价为准（若有最新标准按最新标准执行），最终结算价=计算结算暂定价*成交结算率+市场价询价材料价。</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744"/>
              <w:gridCol w:w="2729"/>
            </w:tblGrid>
            <w:tr w14:paraId="588B49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5E3B9C">
                  <w:pPr>
                    <w:pStyle w:val="4"/>
                    <w:ind w:firstLine="482"/>
                    <w:jc w:val="center"/>
                  </w:pPr>
                  <w:r>
                    <w:rPr>
                      <w:rFonts w:ascii="仿宋_GB2312" w:hAnsi="仿宋_GB2312" w:eastAsia="仿宋_GB2312" w:cs="仿宋_GB2312"/>
                      <w:sz w:val="21"/>
                    </w:rPr>
                    <w:t>校区</w:t>
                  </w:r>
                </w:p>
              </w:tc>
              <w:tc>
                <w:tcPr>
                  <w:tcW w:w="27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F9F2734">
                  <w:pPr>
                    <w:pStyle w:val="4"/>
                    <w:jc w:val="center"/>
                  </w:pPr>
                  <w:r>
                    <w:rPr>
                      <w:rFonts w:ascii="仿宋_GB2312" w:hAnsi="仿宋_GB2312" w:eastAsia="仿宋_GB2312" w:cs="仿宋_GB2312"/>
                      <w:sz w:val="21"/>
                    </w:rPr>
                    <w:t>宜宾校区</w:t>
                  </w:r>
                </w:p>
              </w:tc>
            </w:tr>
            <w:tr w14:paraId="6450FE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9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399CB8">
                  <w:pPr>
                    <w:pStyle w:val="4"/>
                    <w:ind w:firstLine="482"/>
                    <w:jc w:val="center"/>
                  </w:pPr>
                  <w:r>
                    <w:rPr>
                      <w:rFonts w:ascii="仿宋_GB2312" w:hAnsi="仿宋_GB2312" w:eastAsia="仿宋_GB2312" w:cs="仿宋_GB2312"/>
                      <w:sz w:val="21"/>
                    </w:rPr>
                    <w:t>预计费用</w:t>
                  </w:r>
                </w:p>
              </w:tc>
              <w:tc>
                <w:tcPr>
                  <w:tcW w:w="279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B0F87">
                  <w:pPr>
                    <w:pStyle w:val="4"/>
                    <w:jc w:val="center"/>
                  </w:pPr>
                  <w:r>
                    <w:rPr>
                      <w:rFonts w:ascii="仿宋_GB2312" w:hAnsi="仿宋_GB2312" w:eastAsia="仿宋_GB2312" w:cs="仿宋_GB2312"/>
                      <w:sz w:val="21"/>
                    </w:rPr>
                    <w:t>70万元</w:t>
                  </w:r>
                </w:p>
              </w:tc>
            </w:tr>
          </w:tbl>
          <w:p w14:paraId="266684CF">
            <w:pPr>
              <w:pStyle w:val="4"/>
              <w:ind w:firstLine="480"/>
              <w:jc w:val="both"/>
            </w:pPr>
            <w:r>
              <w:rPr>
                <w:rFonts w:ascii="仿宋_GB2312" w:hAnsi="仿宋_GB2312" w:eastAsia="仿宋_GB2312" w:cs="仿宋_GB2312"/>
                <w:b/>
                <w:sz w:val="21"/>
              </w:rPr>
              <w:t>10.2以计日工计价进行结算项目：</w:t>
            </w:r>
          </w:p>
          <w:p w14:paraId="1A31586F">
            <w:pPr>
              <w:pStyle w:val="4"/>
              <w:ind w:firstLine="482"/>
              <w:jc w:val="left"/>
            </w:pPr>
            <w:r>
              <w:rPr>
                <w:rFonts w:ascii="仿宋_GB2312" w:hAnsi="仿宋_GB2312" w:eastAsia="仿宋_GB2312" w:cs="仿宋_GB2312"/>
                <w:sz w:val="21"/>
              </w:rPr>
              <w:t>单项工程造价在3000元以下和不适宜套定额项目的零星维修项目，计日工以单价控制价结合成交结算率进行计算，</w:t>
            </w:r>
            <w:r>
              <w:rPr>
                <w:rFonts w:ascii="仿宋_GB2312" w:hAnsi="仿宋_GB2312" w:eastAsia="仿宋_GB2312" w:cs="仿宋_GB2312"/>
                <w:sz w:val="19"/>
              </w:rPr>
              <w:t>材料价格采用工程实施当月宜宾市造价站或四川省发布的市场价格信息主刊不含进项税价格</w:t>
            </w:r>
            <w:r>
              <w:rPr>
                <w:rFonts w:ascii="仿宋_GB2312" w:hAnsi="仿宋_GB2312" w:eastAsia="仿宋_GB2312" w:cs="仿宋_GB2312"/>
                <w:sz w:val="21"/>
              </w:rPr>
              <w:t>，其中信息价中没有的材料价格按宜宾市市场价询价（不含进项税价格），市场价询价材料价格不作下浮。最终结算价=（计日工单价控制价*成交结算率）+（材料价*成交结算率）+市场价询价材料价</w:t>
            </w:r>
          </w:p>
          <w:p w14:paraId="0C375712">
            <w:pPr>
              <w:pStyle w:val="4"/>
              <w:ind w:firstLine="482"/>
              <w:jc w:val="left"/>
            </w:pPr>
            <w:r>
              <w:rPr>
                <w:rFonts w:ascii="仿宋_GB2312" w:hAnsi="仿宋_GB2312" w:eastAsia="仿宋_GB2312" w:cs="仿宋_GB2312"/>
                <w:sz w:val="21"/>
              </w:rPr>
              <w:t>结算价经采购人或第三方造价咨询机构审核后的决算价为准（若有最新标准按最新标准执行）</w:t>
            </w:r>
          </w:p>
          <w:p w14:paraId="3C84B2EA">
            <w:pPr>
              <w:pStyle w:val="4"/>
              <w:ind w:firstLine="480"/>
              <w:jc w:val="left"/>
            </w:pPr>
            <w:r>
              <w:rPr>
                <w:rFonts w:ascii="仿宋_GB2312" w:hAnsi="仿宋_GB2312" w:eastAsia="仿宋_GB2312" w:cs="仿宋_GB2312"/>
                <w:sz w:val="21"/>
              </w:rPr>
              <w:t>所需工种控制价如下：</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618"/>
              <w:gridCol w:w="2855"/>
            </w:tblGrid>
            <w:tr w14:paraId="346509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6" w:type="dxa"/>
                  <w:vMerge w:val="restart"/>
                  <w:tcBorders>
                    <w:top w:val="single" w:color="000000" w:sz="4" w:space="0"/>
                    <w:left w:val="single" w:color="000000" w:sz="4" w:space="0"/>
                    <w:bottom w:val="nil"/>
                    <w:right w:val="single" w:color="000000" w:sz="4" w:space="0"/>
                  </w:tcBorders>
                  <w:tcMar>
                    <w:top w:w="0" w:type="dxa"/>
                    <w:left w:w="105" w:type="dxa"/>
                    <w:bottom w:w="0" w:type="dxa"/>
                    <w:right w:w="105" w:type="dxa"/>
                  </w:tcMar>
                  <w:vAlign w:val="top"/>
                </w:tcPr>
                <w:p w14:paraId="6308FD93">
                  <w:pPr>
                    <w:pStyle w:val="4"/>
                    <w:jc w:val="center"/>
                  </w:pPr>
                  <w:r>
                    <w:rPr>
                      <w:rFonts w:ascii="仿宋_GB2312" w:hAnsi="仿宋_GB2312" w:eastAsia="仿宋_GB2312" w:cs="仿宋_GB2312"/>
                      <w:b/>
                      <w:sz w:val="21"/>
                    </w:rPr>
                    <w:t>工种</w:t>
                  </w:r>
                </w:p>
              </w:tc>
              <w:tc>
                <w:tcPr>
                  <w:tcW w:w="2912" w:type="dxa"/>
                  <w:vMerge w:val="restart"/>
                  <w:tcBorders>
                    <w:top w:val="single" w:color="000000" w:sz="4" w:space="0"/>
                    <w:left w:val="nil"/>
                    <w:bottom w:val="nil"/>
                    <w:right w:val="single" w:color="000000" w:sz="4" w:space="0"/>
                  </w:tcBorders>
                  <w:tcMar>
                    <w:top w:w="0" w:type="dxa"/>
                    <w:left w:w="105" w:type="dxa"/>
                    <w:bottom w:w="0" w:type="dxa"/>
                    <w:right w:w="105" w:type="dxa"/>
                  </w:tcMar>
                  <w:vAlign w:val="top"/>
                </w:tcPr>
                <w:p w14:paraId="7B3C2E2B">
                  <w:pPr>
                    <w:pStyle w:val="4"/>
                    <w:jc w:val="center"/>
                  </w:pPr>
                  <w:r>
                    <w:rPr>
                      <w:rFonts w:ascii="仿宋_GB2312" w:hAnsi="仿宋_GB2312" w:eastAsia="仿宋_GB2312" w:cs="仿宋_GB2312"/>
                      <w:b/>
                      <w:sz w:val="21"/>
                    </w:rPr>
                    <w:t>单价控制价（元/日.含税）</w:t>
                  </w:r>
                </w:p>
              </w:tc>
            </w:tr>
            <w:tr w14:paraId="35D600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6" w:type="dxa"/>
                  <w:vMerge w:val="continue"/>
                  <w:tcBorders>
                    <w:top w:val="single" w:color="000000" w:sz="4" w:space="0"/>
                    <w:left w:val="single" w:color="000000" w:sz="4" w:space="0"/>
                    <w:bottom w:val="nil"/>
                    <w:right w:val="single" w:color="000000" w:sz="4" w:space="0"/>
                  </w:tcBorders>
                </w:tcPr>
                <w:p w14:paraId="57238213"/>
              </w:tc>
              <w:tc>
                <w:tcPr>
                  <w:tcW w:w="2912" w:type="dxa"/>
                  <w:vMerge w:val="continue"/>
                  <w:tcBorders>
                    <w:top w:val="single" w:color="000000" w:sz="4" w:space="0"/>
                    <w:left w:val="nil"/>
                    <w:bottom w:val="nil"/>
                    <w:right w:val="single" w:color="000000" w:sz="4" w:space="0"/>
                  </w:tcBorders>
                </w:tcPr>
                <w:p w14:paraId="364BFB75"/>
              </w:tc>
            </w:tr>
            <w:tr w14:paraId="2AA934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18F9FF">
                  <w:pPr>
                    <w:pStyle w:val="4"/>
                    <w:jc w:val="left"/>
                  </w:pPr>
                  <w:r>
                    <w:rPr>
                      <w:rFonts w:ascii="仿宋_GB2312" w:hAnsi="仿宋_GB2312" w:eastAsia="仿宋_GB2312" w:cs="仿宋_GB2312"/>
                      <w:sz w:val="21"/>
                    </w:rPr>
                    <w:t>普工</w:t>
                  </w:r>
                </w:p>
              </w:tc>
              <w:tc>
                <w:tcPr>
                  <w:tcW w:w="2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DF540F">
                  <w:pPr>
                    <w:pStyle w:val="4"/>
                    <w:ind w:firstLine="482"/>
                    <w:jc w:val="center"/>
                  </w:pPr>
                  <w:r>
                    <w:rPr>
                      <w:rFonts w:ascii="仿宋_GB2312" w:hAnsi="仿宋_GB2312" w:eastAsia="仿宋_GB2312" w:cs="仿宋_GB2312"/>
                      <w:sz w:val="21"/>
                    </w:rPr>
                    <w:t>185</w:t>
                  </w:r>
                </w:p>
              </w:tc>
            </w:tr>
            <w:tr w14:paraId="4615CF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A545BA">
                  <w:pPr>
                    <w:pStyle w:val="4"/>
                    <w:jc w:val="left"/>
                  </w:pPr>
                  <w:r>
                    <w:rPr>
                      <w:rFonts w:ascii="仿宋_GB2312" w:hAnsi="仿宋_GB2312" w:eastAsia="仿宋_GB2312" w:cs="仿宋_GB2312"/>
                      <w:sz w:val="21"/>
                    </w:rPr>
                    <w:t>技工</w:t>
                  </w:r>
                </w:p>
              </w:tc>
              <w:tc>
                <w:tcPr>
                  <w:tcW w:w="2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B0034C">
                  <w:pPr>
                    <w:pStyle w:val="4"/>
                    <w:ind w:firstLine="482"/>
                    <w:jc w:val="center"/>
                  </w:pPr>
                  <w:r>
                    <w:rPr>
                      <w:rFonts w:ascii="仿宋_GB2312" w:hAnsi="仿宋_GB2312" w:eastAsia="仿宋_GB2312" w:cs="仿宋_GB2312"/>
                      <w:sz w:val="21"/>
                    </w:rPr>
                    <w:t>300</w:t>
                  </w:r>
                </w:p>
              </w:tc>
            </w:tr>
            <w:tr w14:paraId="730A71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8825AE">
                  <w:pPr>
                    <w:pStyle w:val="4"/>
                    <w:jc w:val="left"/>
                  </w:pPr>
                  <w:r>
                    <w:rPr>
                      <w:rFonts w:ascii="仿宋_GB2312" w:hAnsi="仿宋_GB2312" w:eastAsia="仿宋_GB2312" w:cs="仿宋_GB2312"/>
                      <w:sz w:val="21"/>
                    </w:rPr>
                    <w:t>高级技工</w:t>
                  </w:r>
                </w:p>
              </w:tc>
              <w:tc>
                <w:tcPr>
                  <w:tcW w:w="2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923B33">
                  <w:pPr>
                    <w:pStyle w:val="4"/>
                    <w:ind w:firstLine="482"/>
                    <w:jc w:val="center"/>
                  </w:pPr>
                  <w:r>
                    <w:rPr>
                      <w:rFonts w:ascii="仿宋_GB2312" w:hAnsi="仿宋_GB2312" w:eastAsia="仿宋_GB2312" w:cs="仿宋_GB2312"/>
                      <w:sz w:val="21"/>
                    </w:rPr>
                    <w:t>340</w:t>
                  </w:r>
                </w:p>
              </w:tc>
            </w:tr>
            <w:tr w14:paraId="19C2D2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8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F67E5B">
                  <w:pPr>
                    <w:pStyle w:val="4"/>
                    <w:jc w:val="left"/>
                  </w:pPr>
                  <w:r>
                    <w:rPr>
                      <w:rFonts w:ascii="仿宋_GB2312" w:hAnsi="仿宋_GB2312" w:eastAsia="仿宋_GB2312" w:cs="仿宋_GB2312"/>
                      <w:b/>
                      <w:sz w:val="21"/>
                    </w:rPr>
                    <w:t>预计费用</w:t>
                  </w:r>
                </w:p>
              </w:tc>
              <w:tc>
                <w:tcPr>
                  <w:tcW w:w="291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3FCA3">
                  <w:pPr>
                    <w:pStyle w:val="4"/>
                    <w:jc w:val="center"/>
                  </w:pPr>
                  <w:r>
                    <w:rPr>
                      <w:rFonts w:ascii="仿宋_GB2312" w:hAnsi="仿宋_GB2312" w:eastAsia="仿宋_GB2312" w:cs="仿宋_GB2312"/>
                      <w:b/>
                      <w:sz w:val="21"/>
                    </w:rPr>
                    <w:t>50万元</w:t>
                  </w:r>
                </w:p>
              </w:tc>
            </w:tr>
          </w:tbl>
          <w:p w14:paraId="75FE28DD">
            <w:pPr>
              <w:pStyle w:val="4"/>
              <w:ind w:firstLine="420"/>
              <w:jc w:val="both"/>
            </w:pPr>
            <w:r>
              <w:rPr>
                <w:rFonts w:ascii="仿宋_GB2312" w:hAnsi="仿宋_GB2312" w:eastAsia="仿宋_GB2312" w:cs="仿宋_GB2312"/>
                <w:sz w:val="21"/>
              </w:rPr>
              <w:t>10.3结算时限要求：供应商应在次月月底前报送上月维修结算资料，超出期限在1-10天内的每延误一天，从当月最终结算价中扣除500元/天；超出期限在第11-20天内的每延误一天，从当月最终结算价中扣除1000元/天；超出期限在第21-30天内的每延误一天，从当月最终结算价中扣除2000元/天；延误期超出30天的，采购人有权不予接收上月维修结算资料，有权按相关规定与成交供应商解除合同。</w:t>
            </w:r>
          </w:p>
          <w:p w14:paraId="4E45BA46">
            <w:pPr>
              <w:pStyle w:val="4"/>
              <w:ind w:firstLine="480"/>
              <w:jc w:val="both"/>
            </w:pPr>
            <w:r>
              <w:rPr>
                <w:rFonts w:ascii="仿宋_GB2312" w:hAnsi="仿宋_GB2312" w:eastAsia="仿宋_GB2312" w:cs="仿宋_GB2312"/>
                <w:sz w:val="21"/>
              </w:rPr>
              <w:t>11.采购人不承诺供应商在服务期内承接的零星维修的具体数量和额度。</w:t>
            </w:r>
          </w:p>
          <w:p w14:paraId="28CE8F93">
            <w:pPr>
              <w:pStyle w:val="4"/>
              <w:ind w:firstLine="480"/>
              <w:jc w:val="both"/>
            </w:pPr>
            <w:r>
              <w:rPr>
                <w:rFonts w:ascii="仿宋_GB2312" w:hAnsi="仿宋_GB2312" w:eastAsia="仿宋_GB2312" w:cs="仿宋_GB2312"/>
                <w:sz w:val="21"/>
              </w:rPr>
              <w:t>12.本项目供应商在服务时限内承接零星维修项目最终合计结算金额不超过120万元人民币。</w:t>
            </w:r>
          </w:p>
          <w:p w14:paraId="6FC8D355">
            <w:pPr>
              <w:pStyle w:val="4"/>
              <w:ind w:firstLine="480"/>
              <w:jc w:val="both"/>
            </w:pPr>
            <w:r>
              <w:rPr>
                <w:rFonts w:ascii="仿宋_GB2312" w:hAnsi="仿宋_GB2312" w:eastAsia="仿宋_GB2312" w:cs="仿宋_GB2312"/>
                <w:sz w:val="21"/>
              </w:rPr>
              <w:t>13.本项目允许供应商投标（响应）多个包，但一家供应商最多只允许成交1个包。若供应商同时投标（响应）了多个包，需自行确定其优先成交的先后顺序，即供应商须在承诺函中说明优先成交的包号顺序</w:t>
            </w:r>
            <w:r>
              <w:rPr>
                <w:rFonts w:ascii="仿宋_GB2312" w:hAnsi="仿宋_GB2312" w:eastAsia="仿宋_GB2312" w:cs="仿宋_GB2312"/>
                <w:b/>
                <w:sz w:val="21"/>
              </w:rPr>
              <w:t>（提供承诺函，格式自拟，若不涉及参与多个包，无需提供此承诺函）</w:t>
            </w:r>
            <w:r>
              <w:rPr>
                <w:rFonts w:ascii="仿宋_GB2312" w:hAnsi="仿宋_GB2312" w:eastAsia="仿宋_GB2312" w:cs="仿宋_GB2312"/>
                <w:sz w:val="21"/>
              </w:rPr>
              <w:t>；在供应商同时为2个及包的第一成交候选人时，根据优先成交的先后顺序确定成交包号，该供应商为第一成交候选人的其他包号由排名在后的供应商成交，以此类推。</w:t>
            </w:r>
          </w:p>
          <w:p w14:paraId="2AC4E0BD">
            <w:pPr>
              <w:pStyle w:val="4"/>
              <w:jc w:val="both"/>
            </w:pPr>
            <w:r>
              <w:rPr>
                <w:rFonts w:ascii="仿宋_GB2312" w:hAnsi="仿宋_GB2312" w:eastAsia="仿宋_GB2312" w:cs="仿宋_GB2312"/>
                <w:sz w:val="21"/>
              </w:rPr>
              <w:t>★</w:t>
            </w:r>
            <w:r>
              <w:rPr>
                <w:rFonts w:ascii="仿宋_GB2312" w:hAnsi="仿宋_GB2312" w:eastAsia="仿宋_GB2312" w:cs="仿宋_GB2312"/>
                <w:b/>
                <w:sz w:val="21"/>
              </w:rPr>
              <w:t>四、人员要求</w:t>
            </w:r>
          </w:p>
          <w:p w14:paraId="3F456048">
            <w:pPr>
              <w:pStyle w:val="4"/>
              <w:ind w:firstLine="420"/>
              <w:jc w:val="both"/>
            </w:pPr>
            <w:r>
              <w:rPr>
                <w:rFonts w:ascii="仿宋_GB2312" w:hAnsi="仿宋_GB2312" w:eastAsia="仿宋_GB2312" w:cs="仿宋_GB2312"/>
                <w:sz w:val="21"/>
              </w:rPr>
              <w:t>1.供应商投入本项目的项目负责人、技术负责人须为固定人员，若涉及人员调整应当提前15日书面告知采购人并经采购人同意方可更换，更换后的人员应与被更换人员至少具有相同资质。固定人员调整进入施工前应报采购人后勤保障部备案。</w:t>
            </w:r>
          </w:p>
          <w:p w14:paraId="434C4235">
            <w:pPr>
              <w:pStyle w:val="4"/>
              <w:ind w:firstLine="420"/>
              <w:jc w:val="left"/>
            </w:pPr>
            <w:r>
              <w:rPr>
                <w:rFonts w:ascii="仿宋_GB2312" w:hAnsi="仿宋_GB2312" w:eastAsia="仿宋_GB2312" w:cs="仿宋_GB2312"/>
                <w:sz w:val="21"/>
              </w:rPr>
              <w:t>2.供应商承诺在施工期间严格按照国家安全文明施工相关规范要求施工，特别是涉及特种作业（如高空作业、焊接作业等）的人员应具有相关职业资格证书。（本项在响应文件中提供承诺函并加盖供应商公章，承诺函格式自拟）。</w:t>
            </w:r>
          </w:p>
          <w:p w14:paraId="6C758049">
            <w:pPr>
              <w:pStyle w:val="4"/>
              <w:ind w:firstLine="420"/>
              <w:jc w:val="left"/>
            </w:pPr>
            <w:r>
              <w:rPr>
                <w:rFonts w:ascii="仿宋_GB2312" w:hAnsi="仿宋_GB2312" w:eastAsia="仿宋_GB2312" w:cs="仿宋_GB2312"/>
                <w:sz w:val="21"/>
              </w:rPr>
              <w:t>3.供应商为本项目配备专职技术团队，包含项目负责人、技术负责人、本项目涉及的各相关专业技术人员，以上人员须具有本项目涉及的相关专业技能或资格证书。</w:t>
            </w:r>
          </w:p>
          <w:p w14:paraId="72544DBC">
            <w:pPr>
              <w:pStyle w:val="4"/>
              <w:jc w:val="both"/>
            </w:pPr>
            <w:r>
              <w:rPr>
                <w:rFonts w:ascii="仿宋_GB2312" w:hAnsi="仿宋_GB2312" w:eastAsia="仿宋_GB2312" w:cs="仿宋_GB2312"/>
                <w:b/>
                <w:sz w:val="21"/>
              </w:rPr>
              <w:t>五、施工要求与技术要求：</w:t>
            </w:r>
          </w:p>
          <w:p w14:paraId="1A8EBD65">
            <w:pPr>
              <w:pStyle w:val="4"/>
              <w:ind w:firstLine="420"/>
              <w:jc w:val="left"/>
            </w:pPr>
            <w:r>
              <w:rPr>
                <w:rFonts w:ascii="仿宋_GB2312" w:hAnsi="仿宋_GB2312" w:eastAsia="仿宋_GB2312" w:cs="仿宋_GB2312"/>
                <w:sz w:val="21"/>
              </w:rPr>
              <w:t>供应商应结合校园维修特点，制定覆盖土建、安装、装饰等多专业日常零星维修的详细技术措施，明确常见故障的标准化处理流程及相应质量验收标准；明确项目负责人、技术负责人、安全员、各专业维修人员的岗位职责与人员配备数量，确保项目负责人常驻现场并能响应紧急维修指令；此外，应编制与维修任务相匹配的人机材配置方案以及常用施工机具、测量仪器和主要维修材料的储备清单、品牌要求、补货渠道及应急供应保障措施，确保在接到维修通知后能快速组织人员、设备和材料进场并一次性修复到位。</w:t>
            </w:r>
          </w:p>
          <w:p w14:paraId="2A11EF6E">
            <w:pPr>
              <w:pStyle w:val="4"/>
              <w:jc w:val="both"/>
            </w:pPr>
            <w:r>
              <w:rPr>
                <w:rFonts w:ascii="仿宋_GB2312" w:hAnsi="仿宋_GB2312" w:eastAsia="仿宋_GB2312" w:cs="仿宋_GB2312"/>
                <w:b/>
                <w:sz w:val="21"/>
              </w:rPr>
              <w:t>六、服务响应组织要求</w:t>
            </w:r>
          </w:p>
          <w:p w14:paraId="75D8EF6B">
            <w:pPr>
              <w:pStyle w:val="4"/>
              <w:ind w:firstLine="420"/>
              <w:jc w:val="left"/>
            </w:pPr>
            <w:r>
              <w:rPr>
                <w:rFonts w:ascii="仿宋_GB2312" w:hAnsi="仿宋_GB2312" w:eastAsia="仿宋_GB2312" w:cs="仿宋_GB2312"/>
                <w:sz w:val="21"/>
              </w:rPr>
              <w:t>供应商应建立“报修受理—调度派工—现场处置—反馈验收”全流程闭环的服务响应组织体系，明确层级职责与通讯联络机制。按常规维修与应急抢修两类场景响应采购人要求，确保维修任务按时保质完成。</w:t>
            </w:r>
          </w:p>
          <w:p w14:paraId="141A92B9">
            <w:pPr>
              <w:pStyle w:val="4"/>
              <w:jc w:val="left"/>
            </w:pPr>
            <w:r>
              <w:rPr>
                <w:rFonts w:ascii="仿宋_GB2312" w:hAnsi="仿宋_GB2312" w:eastAsia="仿宋_GB2312" w:cs="仿宋_GB2312"/>
                <w:b/>
                <w:sz w:val="21"/>
              </w:rPr>
              <w:t>七、安全文明保障要求：</w:t>
            </w:r>
          </w:p>
          <w:p w14:paraId="30F3D36A">
            <w:pPr>
              <w:pStyle w:val="4"/>
              <w:ind w:firstLine="420"/>
              <w:jc w:val="left"/>
            </w:pPr>
            <w:r>
              <w:rPr>
                <w:rFonts w:ascii="仿宋_GB2312" w:hAnsi="仿宋_GB2312" w:eastAsia="仿宋_GB2312" w:cs="仿宋_GB2312"/>
                <w:sz w:val="21"/>
              </w:rPr>
              <w:t>供应商应构建安全文明管理体系，明确项目安全责任人。环保安全保证措施需重点针对校园环境特殊性，提出具体方案。文明施工措施须包括作业区域全封闭或半封闭围挡、警示标识设置、工完场清制度，针对处理噪音及污染物的技术措施等，确保施工全过程不影响正常教学秩序与校园环境。</w:t>
            </w:r>
          </w:p>
          <w:p w14:paraId="764BB516">
            <w:pPr>
              <w:pStyle w:val="4"/>
              <w:jc w:val="left"/>
            </w:pPr>
            <w:r>
              <w:rPr>
                <w:rFonts w:ascii="仿宋_GB2312" w:hAnsi="仿宋_GB2312" w:eastAsia="仿宋_GB2312" w:cs="仿宋_GB2312"/>
                <w:b/>
                <w:sz w:val="21"/>
              </w:rPr>
              <w:t>八、质量保证要求：</w:t>
            </w:r>
          </w:p>
          <w:p w14:paraId="7AFE38BE">
            <w:pPr>
              <w:pStyle w:val="4"/>
              <w:ind w:firstLine="420"/>
              <w:jc w:val="left"/>
            </w:pPr>
            <w:r>
              <w:rPr>
                <w:rFonts w:ascii="仿宋_GB2312" w:hAnsi="仿宋_GB2312" w:eastAsia="仿宋_GB2312" w:cs="仿宋_GB2312"/>
                <w:sz w:val="21"/>
              </w:rPr>
              <w:t>供应商应明确质量控制目标，承诺所有维修工程符合国家现行施工质量验收规范及四川轻化工大学制定的零星维修质量标准，杜绝因维修质量问题导致的重复报修或安全隐忧。建立质量管理具体措施，对因施工原因造成的质量问题实行免费返修。</w:t>
            </w:r>
          </w:p>
          <w:p w14:paraId="266F226C">
            <w:pPr>
              <w:pStyle w:val="4"/>
              <w:jc w:val="left"/>
            </w:pPr>
            <w:r>
              <w:rPr>
                <w:rFonts w:ascii="仿宋_GB2312" w:hAnsi="仿宋_GB2312" w:eastAsia="仿宋_GB2312" w:cs="仿宋_GB2312"/>
                <w:b/>
                <w:sz w:val="21"/>
              </w:rPr>
              <w:t>九、校园施工要求：</w:t>
            </w:r>
          </w:p>
          <w:p w14:paraId="3D6382DC">
            <w:pPr>
              <w:pStyle w:val="4"/>
              <w:jc w:val="left"/>
            </w:pPr>
            <w:r>
              <w:rPr>
                <w:rFonts w:ascii="仿宋_GB2312" w:hAnsi="仿宋_GB2312" w:eastAsia="仿宋_GB2312" w:cs="仿宋_GB2312"/>
                <w:sz w:val="21"/>
              </w:rPr>
              <w:t>供应商应结合校园教学、科研、师生生活及大型考试等特殊时段需求，制定精细化的分时施工措施。</w:t>
            </w:r>
          </w:p>
        </w:tc>
      </w:tr>
    </w:tbl>
    <w:p w14:paraId="12680CEB">
      <w:pPr>
        <w:pStyle w:val="4"/>
        <w:jc w:val="left"/>
        <w:outlineLvl w:val="2"/>
      </w:pPr>
      <w:r>
        <w:rPr>
          <w:rFonts w:ascii="仿宋_GB2312" w:hAnsi="仿宋_GB2312" w:eastAsia="仿宋_GB2312" w:cs="仿宋_GB2312"/>
          <w:b/>
          <w:sz w:val="28"/>
        </w:rPr>
        <w:t>3.3.服务要求</w:t>
      </w:r>
    </w:p>
    <w:p w14:paraId="7CADFAFB">
      <w:pPr>
        <w:pStyle w:val="4"/>
        <w:jc w:val="left"/>
        <w:outlineLvl w:val="3"/>
      </w:pPr>
      <w:r>
        <w:rPr>
          <w:rFonts w:ascii="仿宋_GB2312" w:hAnsi="仿宋_GB2312" w:eastAsia="仿宋_GB2312" w:cs="仿宋_GB2312"/>
          <w:b/>
          <w:sz w:val="24"/>
        </w:rPr>
        <w:t>3.3.1服务内容要求</w:t>
      </w:r>
    </w:p>
    <w:p w14:paraId="012FA2C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C8392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8225BB">
            <w:pPr>
              <w:pStyle w:val="4"/>
              <w:jc w:val="center"/>
            </w:pPr>
            <w:r>
              <w:rPr>
                <w:rFonts w:ascii="仿宋_GB2312" w:hAnsi="仿宋_GB2312" w:eastAsia="仿宋_GB2312" w:cs="仿宋_GB2312"/>
              </w:rPr>
              <w:t xml:space="preserve"> 序号</w:t>
            </w:r>
          </w:p>
        </w:tc>
        <w:tc>
          <w:tcPr>
            <w:tcW w:w="581" w:type="dxa"/>
          </w:tcPr>
          <w:p w14:paraId="79EFE362">
            <w:pPr>
              <w:pStyle w:val="4"/>
              <w:jc w:val="center"/>
            </w:pPr>
            <w:r>
              <w:rPr>
                <w:rFonts w:ascii="仿宋_GB2312" w:hAnsi="仿宋_GB2312" w:eastAsia="仿宋_GB2312" w:cs="仿宋_GB2312"/>
              </w:rPr>
              <w:t xml:space="preserve"> 符号标识</w:t>
            </w:r>
          </w:p>
        </w:tc>
        <w:tc>
          <w:tcPr>
            <w:tcW w:w="1495" w:type="dxa"/>
          </w:tcPr>
          <w:p w14:paraId="27F4A2AC">
            <w:pPr>
              <w:pStyle w:val="4"/>
              <w:jc w:val="center"/>
            </w:pPr>
            <w:r>
              <w:rPr>
                <w:rFonts w:ascii="仿宋_GB2312" w:hAnsi="仿宋_GB2312" w:eastAsia="仿宋_GB2312" w:cs="仿宋_GB2312"/>
              </w:rPr>
              <w:t xml:space="preserve"> 服务要求名称</w:t>
            </w:r>
          </w:p>
        </w:tc>
        <w:tc>
          <w:tcPr>
            <w:tcW w:w="5814" w:type="dxa"/>
          </w:tcPr>
          <w:p w14:paraId="52166CDE">
            <w:pPr>
              <w:pStyle w:val="4"/>
              <w:jc w:val="center"/>
            </w:pPr>
            <w:r>
              <w:rPr>
                <w:rFonts w:ascii="仿宋_GB2312" w:hAnsi="仿宋_GB2312" w:eastAsia="仿宋_GB2312" w:cs="仿宋_GB2312"/>
              </w:rPr>
              <w:t xml:space="preserve"> 服务要求内容</w:t>
            </w:r>
          </w:p>
        </w:tc>
      </w:tr>
      <w:tr w14:paraId="6241B8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3D549EC5">
            <w:pPr>
              <w:pStyle w:val="4"/>
              <w:jc w:val="center"/>
            </w:pPr>
            <w:r>
              <w:rPr>
                <w:rFonts w:ascii="仿宋_GB2312" w:hAnsi="仿宋_GB2312" w:eastAsia="仿宋_GB2312" w:cs="仿宋_GB2312"/>
              </w:rPr>
              <w:t>无</w:t>
            </w:r>
          </w:p>
        </w:tc>
      </w:tr>
    </w:tbl>
    <w:p w14:paraId="77D00560">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B1AF4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0BBCEF">
            <w:pPr>
              <w:pStyle w:val="4"/>
              <w:jc w:val="center"/>
            </w:pPr>
            <w:r>
              <w:rPr>
                <w:rFonts w:ascii="仿宋_GB2312" w:hAnsi="仿宋_GB2312" w:eastAsia="仿宋_GB2312" w:cs="仿宋_GB2312"/>
              </w:rPr>
              <w:t xml:space="preserve"> 序号</w:t>
            </w:r>
          </w:p>
        </w:tc>
        <w:tc>
          <w:tcPr>
            <w:tcW w:w="581" w:type="dxa"/>
          </w:tcPr>
          <w:p w14:paraId="7F7E22DC">
            <w:pPr>
              <w:pStyle w:val="4"/>
              <w:jc w:val="center"/>
            </w:pPr>
            <w:r>
              <w:rPr>
                <w:rFonts w:ascii="仿宋_GB2312" w:hAnsi="仿宋_GB2312" w:eastAsia="仿宋_GB2312" w:cs="仿宋_GB2312"/>
              </w:rPr>
              <w:t xml:space="preserve"> 符号标识</w:t>
            </w:r>
          </w:p>
        </w:tc>
        <w:tc>
          <w:tcPr>
            <w:tcW w:w="1495" w:type="dxa"/>
          </w:tcPr>
          <w:p w14:paraId="5D95DE62">
            <w:pPr>
              <w:pStyle w:val="4"/>
              <w:jc w:val="center"/>
            </w:pPr>
            <w:r>
              <w:rPr>
                <w:rFonts w:ascii="仿宋_GB2312" w:hAnsi="仿宋_GB2312" w:eastAsia="仿宋_GB2312" w:cs="仿宋_GB2312"/>
              </w:rPr>
              <w:t xml:space="preserve"> 服务要求名称</w:t>
            </w:r>
          </w:p>
        </w:tc>
        <w:tc>
          <w:tcPr>
            <w:tcW w:w="5814" w:type="dxa"/>
          </w:tcPr>
          <w:p w14:paraId="29D2759F">
            <w:pPr>
              <w:pStyle w:val="4"/>
              <w:jc w:val="center"/>
            </w:pPr>
            <w:r>
              <w:rPr>
                <w:rFonts w:ascii="仿宋_GB2312" w:hAnsi="仿宋_GB2312" w:eastAsia="仿宋_GB2312" w:cs="仿宋_GB2312"/>
              </w:rPr>
              <w:t xml:space="preserve"> 服务要求内容</w:t>
            </w:r>
          </w:p>
        </w:tc>
      </w:tr>
      <w:tr w14:paraId="4AA4AD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F9006AF">
            <w:pPr>
              <w:pStyle w:val="4"/>
              <w:jc w:val="center"/>
            </w:pPr>
            <w:r>
              <w:rPr>
                <w:rFonts w:ascii="仿宋_GB2312" w:hAnsi="仿宋_GB2312" w:eastAsia="仿宋_GB2312" w:cs="仿宋_GB2312"/>
              </w:rPr>
              <w:t>无</w:t>
            </w:r>
          </w:p>
        </w:tc>
      </w:tr>
    </w:tbl>
    <w:p w14:paraId="6C2B2828">
      <w:pPr>
        <w:pStyle w:val="4"/>
        <w:jc w:val="left"/>
        <w:outlineLvl w:val="3"/>
      </w:pPr>
      <w:r>
        <w:rPr>
          <w:rFonts w:ascii="仿宋_GB2312" w:hAnsi="仿宋_GB2312" w:eastAsia="仿宋_GB2312" w:cs="仿宋_GB2312"/>
          <w:b/>
          <w:sz w:val="24"/>
        </w:rPr>
        <w:t>3.3.2.商务要求</w:t>
      </w:r>
    </w:p>
    <w:p w14:paraId="0638F3E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8AD79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72E1EE5">
            <w:pPr>
              <w:pStyle w:val="4"/>
              <w:jc w:val="left"/>
            </w:pPr>
            <w:r>
              <w:rPr>
                <w:rFonts w:ascii="仿宋_GB2312" w:hAnsi="仿宋_GB2312" w:eastAsia="仿宋_GB2312" w:cs="仿宋_GB2312"/>
              </w:rPr>
              <w:t>序号</w:t>
            </w:r>
          </w:p>
        </w:tc>
        <w:tc>
          <w:tcPr>
            <w:tcW w:w="2076" w:type="dxa"/>
          </w:tcPr>
          <w:p w14:paraId="213A7D73">
            <w:pPr>
              <w:pStyle w:val="4"/>
              <w:jc w:val="left"/>
            </w:pPr>
            <w:r>
              <w:rPr>
                <w:rFonts w:ascii="仿宋_GB2312" w:hAnsi="仿宋_GB2312" w:eastAsia="仿宋_GB2312" w:cs="仿宋_GB2312"/>
              </w:rPr>
              <w:t>符号标识</w:t>
            </w:r>
          </w:p>
        </w:tc>
        <w:tc>
          <w:tcPr>
            <w:tcW w:w="2076" w:type="dxa"/>
          </w:tcPr>
          <w:p w14:paraId="7CC571D4">
            <w:pPr>
              <w:pStyle w:val="4"/>
              <w:jc w:val="left"/>
            </w:pPr>
            <w:r>
              <w:rPr>
                <w:rFonts w:ascii="仿宋_GB2312" w:hAnsi="仿宋_GB2312" w:eastAsia="仿宋_GB2312" w:cs="仿宋_GB2312"/>
              </w:rPr>
              <w:t>商务要求名称</w:t>
            </w:r>
          </w:p>
        </w:tc>
        <w:tc>
          <w:tcPr>
            <w:tcW w:w="2076" w:type="dxa"/>
          </w:tcPr>
          <w:p w14:paraId="712D60AF">
            <w:pPr>
              <w:pStyle w:val="4"/>
              <w:jc w:val="left"/>
            </w:pPr>
            <w:r>
              <w:rPr>
                <w:rFonts w:ascii="仿宋_GB2312" w:hAnsi="仿宋_GB2312" w:eastAsia="仿宋_GB2312" w:cs="仿宋_GB2312"/>
              </w:rPr>
              <w:t>商务要求内容</w:t>
            </w:r>
          </w:p>
        </w:tc>
      </w:tr>
      <w:tr w14:paraId="3C6CDE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D5C7D10">
            <w:pPr>
              <w:pStyle w:val="4"/>
              <w:jc w:val="left"/>
            </w:pPr>
            <w:r>
              <w:rPr>
                <w:rFonts w:ascii="仿宋_GB2312" w:hAnsi="仿宋_GB2312" w:eastAsia="仿宋_GB2312" w:cs="仿宋_GB2312"/>
              </w:rPr>
              <w:t>1</w:t>
            </w:r>
          </w:p>
        </w:tc>
        <w:tc>
          <w:tcPr>
            <w:tcW w:w="2076" w:type="dxa"/>
          </w:tcPr>
          <w:p w14:paraId="52B7EFC8">
            <w:pPr>
              <w:pStyle w:val="4"/>
              <w:jc w:val="left"/>
            </w:pPr>
            <w:r>
              <w:rPr>
                <w:rFonts w:ascii="仿宋_GB2312" w:hAnsi="仿宋_GB2312" w:eastAsia="仿宋_GB2312" w:cs="仿宋_GB2312"/>
              </w:rPr>
              <w:t>★</w:t>
            </w:r>
          </w:p>
        </w:tc>
        <w:tc>
          <w:tcPr>
            <w:tcW w:w="2076" w:type="dxa"/>
          </w:tcPr>
          <w:p w14:paraId="4EDDE98D">
            <w:pPr>
              <w:pStyle w:val="4"/>
              <w:jc w:val="left"/>
            </w:pPr>
            <w:r>
              <w:rPr>
                <w:rFonts w:ascii="仿宋_GB2312" w:hAnsi="仿宋_GB2312" w:eastAsia="仿宋_GB2312" w:cs="仿宋_GB2312"/>
              </w:rPr>
              <w:t>服务期限</w:t>
            </w:r>
          </w:p>
        </w:tc>
        <w:tc>
          <w:tcPr>
            <w:tcW w:w="2076" w:type="dxa"/>
          </w:tcPr>
          <w:p w14:paraId="7F714B8A">
            <w:pPr>
              <w:pStyle w:val="4"/>
              <w:jc w:val="left"/>
            </w:pPr>
            <w:r>
              <w:rPr>
                <w:rFonts w:ascii="仿宋_GB2312" w:hAnsi="仿宋_GB2312" w:eastAsia="仿宋_GB2312" w:cs="仿宋_GB2312"/>
              </w:rPr>
              <w:t>2026年度本项目政府采购中标单位合同签订之日开始至下一年度政府采购中标单位合同签订之日前一日止或年度服务金额达到采购预算止。（任一条件先达即止）。预计时间：合同签订之日起365日。</w:t>
            </w:r>
          </w:p>
        </w:tc>
      </w:tr>
      <w:tr w14:paraId="469254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6D79E6D">
            <w:pPr>
              <w:pStyle w:val="4"/>
              <w:jc w:val="left"/>
            </w:pPr>
            <w:r>
              <w:rPr>
                <w:rFonts w:ascii="仿宋_GB2312" w:hAnsi="仿宋_GB2312" w:eastAsia="仿宋_GB2312" w:cs="仿宋_GB2312"/>
              </w:rPr>
              <w:t>2</w:t>
            </w:r>
          </w:p>
        </w:tc>
        <w:tc>
          <w:tcPr>
            <w:tcW w:w="2076" w:type="dxa"/>
          </w:tcPr>
          <w:p w14:paraId="2F590A91">
            <w:pPr>
              <w:pStyle w:val="4"/>
              <w:jc w:val="left"/>
            </w:pPr>
            <w:r>
              <w:rPr>
                <w:rFonts w:ascii="仿宋_GB2312" w:hAnsi="仿宋_GB2312" w:eastAsia="仿宋_GB2312" w:cs="仿宋_GB2312"/>
              </w:rPr>
              <w:t>★</w:t>
            </w:r>
          </w:p>
        </w:tc>
        <w:tc>
          <w:tcPr>
            <w:tcW w:w="2076" w:type="dxa"/>
          </w:tcPr>
          <w:p w14:paraId="2955FFA4">
            <w:pPr>
              <w:pStyle w:val="4"/>
              <w:jc w:val="left"/>
            </w:pPr>
            <w:r>
              <w:rPr>
                <w:rFonts w:ascii="仿宋_GB2312" w:hAnsi="仿宋_GB2312" w:eastAsia="仿宋_GB2312" w:cs="仿宋_GB2312"/>
              </w:rPr>
              <w:t>服务地点</w:t>
            </w:r>
          </w:p>
        </w:tc>
        <w:tc>
          <w:tcPr>
            <w:tcW w:w="2076" w:type="dxa"/>
          </w:tcPr>
          <w:p w14:paraId="7339C9C6">
            <w:pPr>
              <w:pStyle w:val="4"/>
              <w:jc w:val="left"/>
            </w:pPr>
            <w:r>
              <w:rPr>
                <w:rFonts w:ascii="仿宋_GB2312" w:hAnsi="仿宋_GB2312" w:eastAsia="仿宋_GB2312" w:cs="仿宋_GB2312"/>
              </w:rPr>
              <w:t>自贡校区（汇南校区、黄岭校区、营盘校区）</w:t>
            </w:r>
          </w:p>
        </w:tc>
      </w:tr>
      <w:tr w14:paraId="3D556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3F403E6">
            <w:pPr>
              <w:pStyle w:val="4"/>
              <w:jc w:val="left"/>
            </w:pPr>
            <w:r>
              <w:rPr>
                <w:rFonts w:ascii="仿宋_GB2312" w:hAnsi="仿宋_GB2312" w:eastAsia="仿宋_GB2312" w:cs="仿宋_GB2312"/>
              </w:rPr>
              <w:t>3</w:t>
            </w:r>
          </w:p>
        </w:tc>
        <w:tc>
          <w:tcPr>
            <w:tcW w:w="2076" w:type="dxa"/>
          </w:tcPr>
          <w:p w14:paraId="08CA55F2">
            <w:pPr>
              <w:pStyle w:val="4"/>
              <w:jc w:val="left"/>
            </w:pPr>
            <w:r>
              <w:rPr>
                <w:rFonts w:ascii="仿宋_GB2312" w:hAnsi="仿宋_GB2312" w:eastAsia="仿宋_GB2312" w:cs="仿宋_GB2312"/>
              </w:rPr>
              <w:t>★</w:t>
            </w:r>
          </w:p>
        </w:tc>
        <w:tc>
          <w:tcPr>
            <w:tcW w:w="2076" w:type="dxa"/>
          </w:tcPr>
          <w:p w14:paraId="0E472997">
            <w:pPr>
              <w:pStyle w:val="4"/>
              <w:jc w:val="left"/>
            </w:pPr>
            <w:r>
              <w:rPr>
                <w:rFonts w:ascii="仿宋_GB2312" w:hAnsi="仿宋_GB2312" w:eastAsia="仿宋_GB2312" w:cs="仿宋_GB2312"/>
              </w:rPr>
              <w:t>验收、交付标准和方法</w:t>
            </w:r>
          </w:p>
        </w:tc>
        <w:tc>
          <w:tcPr>
            <w:tcW w:w="2076" w:type="dxa"/>
          </w:tcPr>
          <w:p w14:paraId="34477F41">
            <w:pPr>
              <w:pStyle w:val="4"/>
              <w:jc w:val="left"/>
            </w:pPr>
            <w:r>
              <w:rPr>
                <w:rFonts w:ascii="仿宋_GB2312" w:hAnsi="仿宋_GB2312" w:eastAsia="仿宋_GB2312" w:cs="仿宋_GB2312"/>
              </w:rPr>
              <w:t>按照《财政部关于进一步加强政府采购需求和履约验收管理的指导意见》（财库〔2016〕205号）、《政府采购需求管理办法（财库〔2021〕22号）》、《四川轻化工大学采购项目验收管理办法（川轻化〔2020〕11号）》以及采购文件的要求、中标（成交）供应商的投标（响应）文件及承诺与合同约定的标准进行验收。</w:t>
            </w:r>
          </w:p>
        </w:tc>
      </w:tr>
      <w:tr w14:paraId="1D2E67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D8C563">
            <w:pPr>
              <w:pStyle w:val="4"/>
              <w:jc w:val="left"/>
            </w:pPr>
            <w:r>
              <w:rPr>
                <w:rFonts w:ascii="仿宋_GB2312" w:hAnsi="仿宋_GB2312" w:eastAsia="仿宋_GB2312" w:cs="仿宋_GB2312"/>
              </w:rPr>
              <w:t>4</w:t>
            </w:r>
          </w:p>
        </w:tc>
        <w:tc>
          <w:tcPr>
            <w:tcW w:w="2076" w:type="dxa"/>
          </w:tcPr>
          <w:p w14:paraId="32C6596E">
            <w:pPr>
              <w:pStyle w:val="4"/>
              <w:jc w:val="left"/>
            </w:pPr>
            <w:r>
              <w:rPr>
                <w:rFonts w:ascii="仿宋_GB2312" w:hAnsi="仿宋_GB2312" w:eastAsia="仿宋_GB2312" w:cs="仿宋_GB2312"/>
              </w:rPr>
              <w:t>★</w:t>
            </w:r>
          </w:p>
        </w:tc>
        <w:tc>
          <w:tcPr>
            <w:tcW w:w="2076" w:type="dxa"/>
          </w:tcPr>
          <w:p w14:paraId="26CF2769">
            <w:pPr>
              <w:pStyle w:val="4"/>
              <w:jc w:val="left"/>
            </w:pPr>
            <w:r>
              <w:rPr>
                <w:rFonts w:ascii="仿宋_GB2312" w:hAnsi="仿宋_GB2312" w:eastAsia="仿宋_GB2312" w:cs="仿宋_GB2312"/>
              </w:rPr>
              <w:t>支付方式</w:t>
            </w:r>
          </w:p>
        </w:tc>
        <w:tc>
          <w:tcPr>
            <w:tcW w:w="2076" w:type="dxa"/>
          </w:tcPr>
          <w:p w14:paraId="7993F038">
            <w:pPr>
              <w:pStyle w:val="4"/>
              <w:jc w:val="left"/>
            </w:pPr>
            <w:r>
              <w:rPr>
                <w:rFonts w:ascii="仿宋_GB2312" w:hAnsi="仿宋_GB2312" w:eastAsia="仿宋_GB2312" w:cs="仿宋_GB2312"/>
              </w:rPr>
              <w:t>分期付款</w:t>
            </w:r>
          </w:p>
        </w:tc>
      </w:tr>
      <w:tr w14:paraId="66509F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1670D32">
            <w:pPr>
              <w:pStyle w:val="4"/>
              <w:jc w:val="left"/>
            </w:pPr>
            <w:r>
              <w:rPr>
                <w:rFonts w:ascii="仿宋_GB2312" w:hAnsi="仿宋_GB2312" w:eastAsia="仿宋_GB2312" w:cs="仿宋_GB2312"/>
              </w:rPr>
              <w:t>5</w:t>
            </w:r>
          </w:p>
        </w:tc>
        <w:tc>
          <w:tcPr>
            <w:tcW w:w="2076" w:type="dxa"/>
          </w:tcPr>
          <w:p w14:paraId="6A739FC7">
            <w:pPr>
              <w:pStyle w:val="4"/>
              <w:jc w:val="left"/>
            </w:pPr>
            <w:r>
              <w:rPr>
                <w:rFonts w:ascii="仿宋_GB2312" w:hAnsi="仿宋_GB2312" w:eastAsia="仿宋_GB2312" w:cs="仿宋_GB2312"/>
              </w:rPr>
              <w:t>★</w:t>
            </w:r>
          </w:p>
        </w:tc>
        <w:tc>
          <w:tcPr>
            <w:tcW w:w="2076" w:type="dxa"/>
          </w:tcPr>
          <w:p w14:paraId="4CBCAD68">
            <w:pPr>
              <w:pStyle w:val="4"/>
              <w:jc w:val="left"/>
            </w:pPr>
            <w:r>
              <w:rPr>
                <w:rFonts w:ascii="仿宋_GB2312" w:hAnsi="仿宋_GB2312" w:eastAsia="仿宋_GB2312" w:cs="仿宋_GB2312"/>
              </w:rPr>
              <w:t>付款进度安排</w:t>
            </w:r>
          </w:p>
        </w:tc>
        <w:tc>
          <w:tcPr>
            <w:tcW w:w="2076" w:type="dxa"/>
          </w:tcPr>
          <w:p w14:paraId="7E81E078">
            <w:pPr>
              <w:pStyle w:val="4"/>
              <w:jc w:val="left"/>
            </w:pPr>
            <w:r>
              <w:rPr>
                <w:rFonts w:ascii="仿宋_GB2312" w:hAnsi="仿宋_GB2312" w:eastAsia="仿宋_GB2312" w:cs="仿宋_GB2312"/>
              </w:rPr>
              <w:t>1、供应商须在次月月底前报送上月的工程结算资料，经采购人聘请的第三方公司审核后确定结算金额(审计时限40天以内)，在收到供应商根据核定金额开具的合法有效票据后，达到付款条件起15日内，据实情况说明为按月支付工程结算核定款项</w:t>
            </w:r>
          </w:p>
          <w:p w14:paraId="778E466E">
            <w:pPr>
              <w:pStyle w:val="4"/>
              <w:jc w:val="left"/>
            </w:pPr>
            <w:r>
              <w:rPr>
                <w:rFonts w:ascii="仿宋_GB2312" w:hAnsi="仿宋_GB2312" w:eastAsia="仿宋_GB2312" w:cs="仿宋_GB2312"/>
              </w:rPr>
              <w:t>2、供应商须在次月月底前报送上月的工程结算资料，经采购人聘请的第三方公司审核后确定结算金额(审计时限40天以内)，在收到供应商根据核定金额开具的合法有效票据后，达到付款条件起15日内，据实情况说明为按月支付工程结算核定款项</w:t>
            </w:r>
          </w:p>
        </w:tc>
      </w:tr>
      <w:tr w14:paraId="5E8EE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A62C51">
            <w:pPr>
              <w:pStyle w:val="4"/>
              <w:jc w:val="left"/>
            </w:pPr>
            <w:r>
              <w:rPr>
                <w:rFonts w:ascii="仿宋_GB2312" w:hAnsi="仿宋_GB2312" w:eastAsia="仿宋_GB2312" w:cs="仿宋_GB2312"/>
              </w:rPr>
              <w:t>6</w:t>
            </w:r>
          </w:p>
        </w:tc>
        <w:tc>
          <w:tcPr>
            <w:tcW w:w="2076" w:type="dxa"/>
          </w:tcPr>
          <w:p w14:paraId="2E32A5F3">
            <w:pPr>
              <w:pStyle w:val="4"/>
              <w:jc w:val="left"/>
            </w:pPr>
            <w:r>
              <w:rPr>
                <w:rFonts w:ascii="仿宋_GB2312" w:hAnsi="仿宋_GB2312" w:eastAsia="仿宋_GB2312" w:cs="仿宋_GB2312"/>
              </w:rPr>
              <w:t>★</w:t>
            </w:r>
          </w:p>
        </w:tc>
        <w:tc>
          <w:tcPr>
            <w:tcW w:w="2076" w:type="dxa"/>
          </w:tcPr>
          <w:p w14:paraId="51AFEC93">
            <w:pPr>
              <w:pStyle w:val="4"/>
              <w:jc w:val="left"/>
            </w:pPr>
            <w:r>
              <w:rPr>
                <w:rFonts w:ascii="仿宋_GB2312" w:hAnsi="仿宋_GB2312" w:eastAsia="仿宋_GB2312" w:cs="仿宋_GB2312"/>
              </w:rPr>
              <w:t>违约责任与解决争议的方法</w:t>
            </w:r>
          </w:p>
        </w:tc>
        <w:tc>
          <w:tcPr>
            <w:tcW w:w="2076" w:type="dxa"/>
          </w:tcPr>
          <w:p w14:paraId="738D0644">
            <w:pPr>
              <w:pStyle w:val="4"/>
              <w:jc w:val="left"/>
            </w:pPr>
            <w:r>
              <w:rPr>
                <w:rFonts w:ascii="仿宋_GB2312" w:hAnsi="仿宋_GB2312" w:eastAsia="仿宋_GB2312" w:cs="仿宋_GB2312"/>
              </w:rPr>
              <w:t>1.采购人不按本合同约定支付结算款，按银行有关逾期付款办法或“工程价款结算办法”的有关规定向供应商承担违约责任。 2.采购人不予配合供应商实施维修工作，导致供应商窝工等损失的，应承担相应的法律责任。 3.供应商须在采购人安排下开展工作，如有虚报工时、不服从安排、有意拖延施工时间、服务态度恶劣遭师生投诉等情况，三次以内按2000元/次在工程结算中扣款；经采购人书面通知仍不及时整改的，超过三次视为违约，采购人有解除合同的权利，并追究供应商由此给采购人造成的损失及其违约责任。 4.采购人要求供应商整改的，供应商应当在采购人要求时间内完成，供应商无正当理由未在规定期限内整改的，每逾期一日扣除1000元违约金；逾期超过7日仍未整改的，采购人有权解除合同，整改完成后由采购人验收，供应商按照本合同约定承担相应责任。若验收仍无法达到采购人要求的，采购人有权解除本合同，并不予支付供应商工程结算款，且有权追究供应商法律责任。 5.供应商未按上述响应时间及要求达到维修现场，实施紧急维修以解决安全隐患或恢复功能视为供应商违约。 6.供应商在施工过程中发生环境污染事件，视为供应商违约，并按照国家相关法律法规处理。 7.供应商在施工前充分踏勘现场，施工过程中因野蛮施工或考虑不充分造成采购人管网、电缆、树木、构筑物等损坏，视为供应商违约，供应商应立即组织恢复原状，并承担由此造成的全部经济损失。未能及时恢复的，采购人有权另行安排第三方修复，费用从供应商结算款中双倍扣除，并有权追究相关法律责任。 8.采购人可直接从未支付供应商工程结算款中按照约定扣除供应商应支付违约金及赔偿款，供应商赔偿范围包括但不限于采购人直接损失、间接损失、律师费、差旅费、保全费等。供应商承担的违约金不足以弥补采购人损失的，还应按采购人损失尚未弥补的部分，向采购人支付赔偿金。 9.供应商未按规定要求对施工人员进行安全教育、未进行安全技术交底或特种作业人员无证上岗的，每发现一次，采购人有权从结算款中扣除 2000元作为违约金；情节严重的，采购人有权单方面解除合同。 10.供应商在施工过程中发生 一般安全事故（如轻微人身伤害、小型火灾等），每发生一次，扣除5000元违约金，并责令整改；发生 较大及以上安全事故，采购人有权立即解除合同，并追究供应商的法律责任。 11.建筑垃圾未按规定清运或在校内随意倾倒的，每发现一次扣除2000元违约金，并责令立即清理；第二次发生的，采购人有权解除合同。 12.因施工原因导致校园正常教学、考试、科研活动受到严重影响的，每发生一次扣除 5000元 违约金；影响特别恶劣的，采购人有权解除合同。 13.在一个合同年度内，供应商累计发生3次及以上安全违规行为（包括但不限于无证上岗、未办动火审批、未清运垃圾等），采购人有权解除合同 14.合同约定的其他违约情形。 解决争议的办法：1.若合同履行过程中双方发生争议的，应协商解决；协商不成，任何一方均可向自贡仲裁委员会提出仲裁申请。 2.若任意一方发生违约行为，守约方为维护自身合法权益而支付的诉讼费、律师费、差旅费等合理费用，应由违约方一并承担。</w:t>
            </w:r>
          </w:p>
        </w:tc>
      </w:tr>
    </w:tbl>
    <w:p w14:paraId="08C0E1CD">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6BE16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20065D">
            <w:pPr>
              <w:pStyle w:val="4"/>
              <w:jc w:val="left"/>
            </w:pPr>
            <w:r>
              <w:rPr>
                <w:rFonts w:ascii="仿宋_GB2312" w:hAnsi="仿宋_GB2312" w:eastAsia="仿宋_GB2312" w:cs="仿宋_GB2312"/>
              </w:rPr>
              <w:t>序号</w:t>
            </w:r>
          </w:p>
        </w:tc>
        <w:tc>
          <w:tcPr>
            <w:tcW w:w="2076" w:type="dxa"/>
          </w:tcPr>
          <w:p w14:paraId="2C948E03">
            <w:pPr>
              <w:pStyle w:val="4"/>
              <w:jc w:val="left"/>
            </w:pPr>
            <w:r>
              <w:rPr>
                <w:rFonts w:ascii="仿宋_GB2312" w:hAnsi="仿宋_GB2312" w:eastAsia="仿宋_GB2312" w:cs="仿宋_GB2312"/>
              </w:rPr>
              <w:t>符号标识</w:t>
            </w:r>
          </w:p>
        </w:tc>
        <w:tc>
          <w:tcPr>
            <w:tcW w:w="2076" w:type="dxa"/>
          </w:tcPr>
          <w:p w14:paraId="5D5979EE">
            <w:pPr>
              <w:pStyle w:val="4"/>
              <w:jc w:val="left"/>
            </w:pPr>
            <w:r>
              <w:rPr>
                <w:rFonts w:ascii="仿宋_GB2312" w:hAnsi="仿宋_GB2312" w:eastAsia="仿宋_GB2312" w:cs="仿宋_GB2312"/>
              </w:rPr>
              <w:t>商务要求名称</w:t>
            </w:r>
          </w:p>
        </w:tc>
        <w:tc>
          <w:tcPr>
            <w:tcW w:w="2076" w:type="dxa"/>
          </w:tcPr>
          <w:p w14:paraId="4673932E">
            <w:pPr>
              <w:pStyle w:val="4"/>
              <w:jc w:val="left"/>
            </w:pPr>
            <w:r>
              <w:rPr>
                <w:rFonts w:ascii="仿宋_GB2312" w:hAnsi="仿宋_GB2312" w:eastAsia="仿宋_GB2312" w:cs="仿宋_GB2312"/>
              </w:rPr>
              <w:t>商务要求内容</w:t>
            </w:r>
          </w:p>
        </w:tc>
      </w:tr>
      <w:tr w14:paraId="1A055C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82F6683">
            <w:pPr>
              <w:pStyle w:val="4"/>
              <w:jc w:val="left"/>
            </w:pPr>
            <w:r>
              <w:rPr>
                <w:rFonts w:ascii="仿宋_GB2312" w:hAnsi="仿宋_GB2312" w:eastAsia="仿宋_GB2312" w:cs="仿宋_GB2312"/>
              </w:rPr>
              <w:t>1</w:t>
            </w:r>
          </w:p>
        </w:tc>
        <w:tc>
          <w:tcPr>
            <w:tcW w:w="2076" w:type="dxa"/>
          </w:tcPr>
          <w:p w14:paraId="426FB213">
            <w:pPr>
              <w:pStyle w:val="4"/>
              <w:jc w:val="left"/>
            </w:pPr>
            <w:r>
              <w:rPr>
                <w:rFonts w:ascii="仿宋_GB2312" w:hAnsi="仿宋_GB2312" w:eastAsia="仿宋_GB2312" w:cs="仿宋_GB2312"/>
              </w:rPr>
              <w:t>★</w:t>
            </w:r>
          </w:p>
        </w:tc>
        <w:tc>
          <w:tcPr>
            <w:tcW w:w="2076" w:type="dxa"/>
          </w:tcPr>
          <w:p w14:paraId="4658562E">
            <w:pPr>
              <w:pStyle w:val="4"/>
              <w:jc w:val="left"/>
            </w:pPr>
            <w:r>
              <w:rPr>
                <w:rFonts w:ascii="仿宋_GB2312" w:hAnsi="仿宋_GB2312" w:eastAsia="仿宋_GB2312" w:cs="仿宋_GB2312"/>
              </w:rPr>
              <w:t>服务期限</w:t>
            </w:r>
          </w:p>
        </w:tc>
        <w:tc>
          <w:tcPr>
            <w:tcW w:w="2076" w:type="dxa"/>
          </w:tcPr>
          <w:p w14:paraId="255595E5">
            <w:pPr>
              <w:pStyle w:val="4"/>
              <w:jc w:val="left"/>
            </w:pPr>
            <w:r>
              <w:rPr>
                <w:rFonts w:ascii="仿宋_GB2312" w:hAnsi="仿宋_GB2312" w:eastAsia="仿宋_GB2312" w:cs="仿宋_GB2312"/>
              </w:rPr>
              <w:t>2026年度本项目政府采购中标单位合同签订之日开始至下一年度政府采购中标单位合同签订之日前一日止或年度服务金额达到采购预算止。（任一条件先达即止）。预计时间：合同签订之日起365日。</w:t>
            </w:r>
          </w:p>
        </w:tc>
      </w:tr>
      <w:tr w14:paraId="025E27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31D515">
            <w:pPr>
              <w:pStyle w:val="4"/>
              <w:jc w:val="left"/>
            </w:pPr>
            <w:r>
              <w:rPr>
                <w:rFonts w:ascii="仿宋_GB2312" w:hAnsi="仿宋_GB2312" w:eastAsia="仿宋_GB2312" w:cs="仿宋_GB2312"/>
              </w:rPr>
              <w:t>2</w:t>
            </w:r>
          </w:p>
        </w:tc>
        <w:tc>
          <w:tcPr>
            <w:tcW w:w="2076" w:type="dxa"/>
          </w:tcPr>
          <w:p w14:paraId="642C83CD">
            <w:pPr>
              <w:pStyle w:val="4"/>
              <w:jc w:val="left"/>
            </w:pPr>
            <w:r>
              <w:rPr>
                <w:rFonts w:ascii="仿宋_GB2312" w:hAnsi="仿宋_GB2312" w:eastAsia="仿宋_GB2312" w:cs="仿宋_GB2312"/>
              </w:rPr>
              <w:t>★</w:t>
            </w:r>
          </w:p>
        </w:tc>
        <w:tc>
          <w:tcPr>
            <w:tcW w:w="2076" w:type="dxa"/>
          </w:tcPr>
          <w:p w14:paraId="75E370E1">
            <w:pPr>
              <w:pStyle w:val="4"/>
              <w:jc w:val="left"/>
            </w:pPr>
            <w:r>
              <w:rPr>
                <w:rFonts w:ascii="仿宋_GB2312" w:hAnsi="仿宋_GB2312" w:eastAsia="仿宋_GB2312" w:cs="仿宋_GB2312"/>
              </w:rPr>
              <w:t>服务地点</w:t>
            </w:r>
          </w:p>
        </w:tc>
        <w:tc>
          <w:tcPr>
            <w:tcW w:w="2076" w:type="dxa"/>
          </w:tcPr>
          <w:p w14:paraId="4E36F162">
            <w:pPr>
              <w:pStyle w:val="4"/>
              <w:jc w:val="left"/>
            </w:pPr>
            <w:r>
              <w:rPr>
                <w:rFonts w:ascii="仿宋_GB2312" w:hAnsi="仿宋_GB2312" w:eastAsia="仿宋_GB2312" w:cs="仿宋_GB2312"/>
              </w:rPr>
              <w:t>宜宾校区</w:t>
            </w:r>
          </w:p>
        </w:tc>
      </w:tr>
      <w:tr w14:paraId="3D94F5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454F70">
            <w:pPr>
              <w:pStyle w:val="4"/>
              <w:jc w:val="left"/>
            </w:pPr>
            <w:r>
              <w:rPr>
                <w:rFonts w:ascii="仿宋_GB2312" w:hAnsi="仿宋_GB2312" w:eastAsia="仿宋_GB2312" w:cs="仿宋_GB2312"/>
              </w:rPr>
              <w:t>3</w:t>
            </w:r>
          </w:p>
        </w:tc>
        <w:tc>
          <w:tcPr>
            <w:tcW w:w="2076" w:type="dxa"/>
          </w:tcPr>
          <w:p w14:paraId="4C46638F">
            <w:pPr>
              <w:pStyle w:val="4"/>
              <w:jc w:val="left"/>
            </w:pPr>
            <w:r>
              <w:rPr>
                <w:rFonts w:ascii="仿宋_GB2312" w:hAnsi="仿宋_GB2312" w:eastAsia="仿宋_GB2312" w:cs="仿宋_GB2312"/>
              </w:rPr>
              <w:t>★</w:t>
            </w:r>
          </w:p>
        </w:tc>
        <w:tc>
          <w:tcPr>
            <w:tcW w:w="2076" w:type="dxa"/>
          </w:tcPr>
          <w:p w14:paraId="4E82F319">
            <w:pPr>
              <w:pStyle w:val="4"/>
              <w:jc w:val="left"/>
            </w:pPr>
            <w:r>
              <w:rPr>
                <w:rFonts w:ascii="仿宋_GB2312" w:hAnsi="仿宋_GB2312" w:eastAsia="仿宋_GB2312" w:cs="仿宋_GB2312"/>
              </w:rPr>
              <w:t>验收、交付标准和方法</w:t>
            </w:r>
          </w:p>
        </w:tc>
        <w:tc>
          <w:tcPr>
            <w:tcW w:w="2076" w:type="dxa"/>
          </w:tcPr>
          <w:p w14:paraId="7370A564">
            <w:pPr>
              <w:pStyle w:val="4"/>
              <w:jc w:val="left"/>
            </w:pPr>
            <w:r>
              <w:rPr>
                <w:rFonts w:ascii="仿宋_GB2312" w:hAnsi="仿宋_GB2312" w:eastAsia="仿宋_GB2312" w:cs="仿宋_GB2312"/>
              </w:rPr>
              <w:t>按照《财政部关于进一步加强政府采购需求和履约验收管理的指导意见》（财库〔2016〕205号）、《政府采购需求管理办法（财库〔2021〕22号）》、《四川轻化工大学采购项目验收管理办法（川轻化〔2020〕11号）》以及采购文件的要求、中标（成交）供应商的投标（响应）文件及承诺与合同约定的标准进行验收。</w:t>
            </w:r>
          </w:p>
        </w:tc>
      </w:tr>
      <w:tr w14:paraId="67009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152BE1">
            <w:pPr>
              <w:pStyle w:val="4"/>
              <w:jc w:val="left"/>
            </w:pPr>
            <w:r>
              <w:rPr>
                <w:rFonts w:ascii="仿宋_GB2312" w:hAnsi="仿宋_GB2312" w:eastAsia="仿宋_GB2312" w:cs="仿宋_GB2312"/>
              </w:rPr>
              <w:t>4</w:t>
            </w:r>
          </w:p>
        </w:tc>
        <w:tc>
          <w:tcPr>
            <w:tcW w:w="2076" w:type="dxa"/>
          </w:tcPr>
          <w:p w14:paraId="68E1C483">
            <w:pPr>
              <w:pStyle w:val="4"/>
              <w:jc w:val="left"/>
            </w:pPr>
            <w:r>
              <w:rPr>
                <w:rFonts w:ascii="仿宋_GB2312" w:hAnsi="仿宋_GB2312" w:eastAsia="仿宋_GB2312" w:cs="仿宋_GB2312"/>
              </w:rPr>
              <w:t>★</w:t>
            </w:r>
          </w:p>
        </w:tc>
        <w:tc>
          <w:tcPr>
            <w:tcW w:w="2076" w:type="dxa"/>
          </w:tcPr>
          <w:p w14:paraId="1C1AE0AC">
            <w:pPr>
              <w:pStyle w:val="4"/>
              <w:jc w:val="left"/>
            </w:pPr>
            <w:r>
              <w:rPr>
                <w:rFonts w:ascii="仿宋_GB2312" w:hAnsi="仿宋_GB2312" w:eastAsia="仿宋_GB2312" w:cs="仿宋_GB2312"/>
              </w:rPr>
              <w:t>支付方式</w:t>
            </w:r>
          </w:p>
        </w:tc>
        <w:tc>
          <w:tcPr>
            <w:tcW w:w="2076" w:type="dxa"/>
          </w:tcPr>
          <w:p w14:paraId="78047490">
            <w:pPr>
              <w:pStyle w:val="4"/>
              <w:jc w:val="left"/>
            </w:pPr>
            <w:r>
              <w:rPr>
                <w:rFonts w:ascii="仿宋_GB2312" w:hAnsi="仿宋_GB2312" w:eastAsia="仿宋_GB2312" w:cs="仿宋_GB2312"/>
              </w:rPr>
              <w:t>分期付款</w:t>
            </w:r>
          </w:p>
        </w:tc>
      </w:tr>
      <w:tr w14:paraId="0824DA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170359A">
            <w:pPr>
              <w:pStyle w:val="4"/>
              <w:jc w:val="left"/>
            </w:pPr>
            <w:r>
              <w:rPr>
                <w:rFonts w:ascii="仿宋_GB2312" w:hAnsi="仿宋_GB2312" w:eastAsia="仿宋_GB2312" w:cs="仿宋_GB2312"/>
              </w:rPr>
              <w:t>5</w:t>
            </w:r>
          </w:p>
        </w:tc>
        <w:tc>
          <w:tcPr>
            <w:tcW w:w="2076" w:type="dxa"/>
          </w:tcPr>
          <w:p w14:paraId="0B27E16A">
            <w:pPr>
              <w:pStyle w:val="4"/>
              <w:jc w:val="left"/>
            </w:pPr>
            <w:r>
              <w:rPr>
                <w:rFonts w:ascii="仿宋_GB2312" w:hAnsi="仿宋_GB2312" w:eastAsia="仿宋_GB2312" w:cs="仿宋_GB2312"/>
              </w:rPr>
              <w:t>★</w:t>
            </w:r>
          </w:p>
        </w:tc>
        <w:tc>
          <w:tcPr>
            <w:tcW w:w="2076" w:type="dxa"/>
          </w:tcPr>
          <w:p w14:paraId="3A1D51D5">
            <w:pPr>
              <w:pStyle w:val="4"/>
              <w:jc w:val="left"/>
            </w:pPr>
            <w:r>
              <w:rPr>
                <w:rFonts w:ascii="仿宋_GB2312" w:hAnsi="仿宋_GB2312" w:eastAsia="仿宋_GB2312" w:cs="仿宋_GB2312"/>
              </w:rPr>
              <w:t>付款进度安排</w:t>
            </w:r>
          </w:p>
        </w:tc>
        <w:tc>
          <w:tcPr>
            <w:tcW w:w="2076" w:type="dxa"/>
          </w:tcPr>
          <w:p w14:paraId="0CD8327A">
            <w:pPr>
              <w:pStyle w:val="4"/>
              <w:jc w:val="left"/>
            </w:pPr>
            <w:r>
              <w:rPr>
                <w:rFonts w:ascii="仿宋_GB2312" w:hAnsi="仿宋_GB2312" w:eastAsia="仿宋_GB2312" w:cs="仿宋_GB2312"/>
              </w:rPr>
              <w:t>1、供应商须在次月月底前报送上月的工程结算资料，经采购人聘请的第三方公司审核后确定结算金额(审计时限40天以内)，在收到供应商根据核定金额开具的合法有效票据后，达到付款条件起15日内，据实情况说明为按月支付工程结算核定款项</w:t>
            </w:r>
          </w:p>
          <w:p w14:paraId="074B39DA">
            <w:pPr>
              <w:pStyle w:val="4"/>
              <w:jc w:val="left"/>
            </w:pPr>
            <w:r>
              <w:rPr>
                <w:rFonts w:ascii="仿宋_GB2312" w:hAnsi="仿宋_GB2312" w:eastAsia="仿宋_GB2312" w:cs="仿宋_GB2312"/>
              </w:rPr>
              <w:t>2、供应商须在次月月底前报送上月的工程结算资料，经采购人聘请的第三方公司审核后确定结算金额(审计时限40天以内)，在收到供应商根据核定金额开具的合法有效票据后，达到付款条件起15日内，据实情况说明为按月支付工程结算核定款项</w:t>
            </w:r>
          </w:p>
        </w:tc>
      </w:tr>
      <w:tr w14:paraId="1D43EA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226C41A">
            <w:pPr>
              <w:pStyle w:val="4"/>
              <w:jc w:val="left"/>
            </w:pPr>
            <w:r>
              <w:rPr>
                <w:rFonts w:ascii="仿宋_GB2312" w:hAnsi="仿宋_GB2312" w:eastAsia="仿宋_GB2312" w:cs="仿宋_GB2312"/>
              </w:rPr>
              <w:t>6</w:t>
            </w:r>
          </w:p>
        </w:tc>
        <w:tc>
          <w:tcPr>
            <w:tcW w:w="2076" w:type="dxa"/>
          </w:tcPr>
          <w:p w14:paraId="0BCBDB38">
            <w:pPr>
              <w:pStyle w:val="4"/>
              <w:jc w:val="left"/>
            </w:pPr>
            <w:r>
              <w:rPr>
                <w:rFonts w:ascii="仿宋_GB2312" w:hAnsi="仿宋_GB2312" w:eastAsia="仿宋_GB2312" w:cs="仿宋_GB2312"/>
              </w:rPr>
              <w:t>★</w:t>
            </w:r>
          </w:p>
        </w:tc>
        <w:tc>
          <w:tcPr>
            <w:tcW w:w="2076" w:type="dxa"/>
          </w:tcPr>
          <w:p w14:paraId="06E8D348">
            <w:pPr>
              <w:pStyle w:val="4"/>
              <w:jc w:val="left"/>
            </w:pPr>
            <w:r>
              <w:rPr>
                <w:rFonts w:ascii="仿宋_GB2312" w:hAnsi="仿宋_GB2312" w:eastAsia="仿宋_GB2312" w:cs="仿宋_GB2312"/>
              </w:rPr>
              <w:t>违约责任与解决争议的方法</w:t>
            </w:r>
          </w:p>
        </w:tc>
        <w:tc>
          <w:tcPr>
            <w:tcW w:w="2076" w:type="dxa"/>
          </w:tcPr>
          <w:p w14:paraId="268CF5E7">
            <w:pPr>
              <w:pStyle w:val="4"/>
              <w:jc w:val="left"/>
            </w:pPr>
            <w:r>
              <w:rPr>
                <w:rFonts w:ascii="仿宋_GB2312" w:hAnsi="仿宋_GB2312" w:eastAsia="仿宋_GB2312" w:cs="仿宋_GB2312"/>
              </w:rPr>
              <w:t>1.采购人不按本合同约定支付结算款，按银行有关逾期付款办法或“工程价款结算办法”的有关规定向供应商承担违约责任。 2.采购人不予配合供应商实施维修工作，导致供应商窝工等损失的，应承担相应的法律责任。 3.供应商须在采购人安排下开展工作，如有虚报工时、不服从安排、有意拖延施工时间、服务态度恶劣遭师生投诉等情况，三次以内按2000元/次在工程结算中扣款；经采购人书面通知仍不及时整改的，超过三次视为违约，采购人有解除合同的权利，并追究供应商由此给采购人造成的损失及其违约责任。 4.采购人要求供应商整改的，供应商应当在采购人要求时间内完成，供应商无正当理由未在规定期限内整改的，每逾期一日扣除1000元违约金；逾期超过7日仍未整改的，采购人有权解除合同，整改完成后由采购人验收，供应商按照本合同约定承担相应责任。若验收仍无法达到采购人要求的，采购人有权解除本合同，并不予支付供应商工程结算款，且有权追究供应商法律责任。 5.供应商未按上述响应时间及要求达到维修现场，实施紧急维修以解决安全隐患或恢复功能视为供应商违约。 6.供应商在施工过程中发生环境污染事件，视为供应商违约，并按照国家相关法律法规处理。 7.供应商在施工前充分踏勘现场，施工过程中因野蛮施工或考虑不充分造成采购人管网、电缆、树木、构筑物等损坏，视为供应商违约，供应商应立即组织恢复原状，并承担由此造成的全部经济损失。未能及时恢复的，采购人有权另行安排第三方修复，费用从供应商结算款中双倍扣除，并有权追究相关法律责任。 8.采购人可直接从未支付供应商工程结算款中按照约定扣除供应商应支付违约金及赔偿款，供应商赔偿范围包括但不限于采购人直接损失、间接损失、律师费、差旅费、保全费等。供应商承担的违约金不足以弥补采购人损失的，还应按采购人损失尚未弥补的部分，向采购人支付赔偿金。 9.供应商未按规定要求对施工人员进行安全教育、未进行安全技术交底或特种作业人员无证上岗的，每发现一次，采购人有权从结算款中扣除 2000元作为违约金；情节严重的，采购人有权单方面解除合同。 10.供应商在施工过程中发生 一般安全事故（如轻微人身伤害、小型火灾等），每发生一次，扣除5000元违约金，并责令整改；发生 较大及以上安全事故，采购人有权立即解除合同，并追究供应商的法律责任。 11.建筑垃圾未按规定清运或在校内随意倾倒的，每发现一次扣除2000元违约金，并责令立即清理；第二次发生的，采购人有权解除合同。 12.因施工原因导致校园正常教学、考试、科研活动受到严重影响的，每发生一次扣除 5000元 违约金；影响特别恶劣的，采购人有权解除合同。 13.在一个合同年度内，供应商累计发生3次及以上安全违规行为（包括但不限于无证上岗、未办动火审批、未清运垃圾等），采购人有权解除合同 14.合同约定的其他违约情形。 解决争议的方法：1.若合同履行过程中双方发生争议的，应协商解决；协商不成，任何一方均可向自贡仲裁委员会提出仲裁申请。 2.若任意一方发生违约行为，守约方为维护自身合法权益而支付的诉讼费、律师费、差旅费等合理费用，应由违约方一并承担。</w:t>
            </w:r>
          </w:p>
        </w:tc>
      </w:tr>
    </w:tbl>
    <w:p w14:paraId="1E533C5C">
      <w:pPr>
        <w:pStyle w:val="4"/>
        <w:jc w:val="left"/>
        <w:outlineLvl w:val="2"/>
      </w:pPr>
      <w:r>
        <w:rPr>
          <w:rFonts w:ascii="仿宋_GB2312" w:hAnsi="仿宋_GB2312" w:eastAsia="仿宋_GB2312" w:cs="仿宋_GB2312"/>
          <w:b/>
          <w:sz w:val="28"/>
        </w:rPr>
        <w:t>3.4.其他要求</w:t>
      </w:r>
    </w:p>
    <w:p w14:paraId="30DF76B0">
      <w:pPr>
        <w:pStyle w:val="4"/>
        <w:ind w:firstLine="480"/>
        <w:jc w:val="left"/>
      </w:pPr>
      <w:r>
        <w:rPr>
          <w:rFonts w:ascii="仿宋_GB2312" w:hAnsi="仿宋_GB2312" w:eastAsia="仿宋_GB2312" w:cs="仿宋_GB2312"/>
        </w:rPr>
        <w:t>采购包1：</w:t>
      </w:r>
    </w:p>
    <w:p w14:paraId="634A3C96">
      <w:pPr>
        <w:pStyle w:val="4"/>
        <w:jc w:val="left"/>
      </w:pPr>
      <w:r>
        <w:rPr>
          <w:rFonts w:ascii="仿宋_GB2312" w:hAnsi="仿宋_GB2312" w:eastAsia="仿宋_GB2312" w:cs="仿宋_GB2312"/>
        </w:rPr>
        <w:t>无。</w:t>
      </w:r>
    </w:p>
    <w:p w14:paraId="16D75129">
      <w:pPr>
        <w:pStyle w:val="4"/>
        <w:jc w:val="left"/>
      </w:pPr>
      <w:r>
        <w:rPr>
          <w:rFonts w:ascii="仿宋_GB2312" w:hAnsi="仿宋_GB2312" w:eastAsia="仿宋_GB2312" w:cs="仿宋_GB2312"/>
        </w:rPr>
        <w:t>采购包2：</w:t>
      </w:r>
    </w:p>
    <w:p w14:paraId="0D6AF7BE">
      <w:pPr>
        <w:pStyle w:val="4"/>
        <w:jc w:val="left"/>
      </w:pPr>
      <w:r>
        <w:rPr>
          <w:rFonts w:ascii="仿宋_GB2312" w:hAnsi="仿宋_GB2312" w:eastAsia="仿宋_GB2312" w:cs="仿宋_GB2312"/>
        </w:rPr>
        <w:t>无。</w:t>
      </w:r>
    </w:p>
    <w:p w14:paraId="5DD60D8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8576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Z</cp:lastModifiedBy>
  <dcterms:modified xsi:type="dcterms:W3CDTF">2026-06-18T10:05:08Z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KSOTemplateDocerSaveRecord">
    <vt:lpwstr>eyJoZGlkIjoiNmY5N2QxZThhMWI5MjUyYmU1YWYwODBkYTJiOWM4NmEiLCJ1c2VySWQiOiI3Njg2MzM3NDYifQ==</vt:lpwstr>
  </property>
  <property fmtid="{D5CDD505-2E9C-101B-9397-08002B2CF9AE}" pid="4" name="ICV">
    <vt:lpwstr>E856C2B768F14815AF8ECB759D490BBD_12</vt:lpwstr>
  </property>
</Properties>
</file>