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10C42B">
      <w:pPr>
        <w:spacing w:line="300" w:lineRule="exact"/>
        <w:ind w:firstLine="420" w:firstLineChars="200"/>
        <w:jc w:val="left"/>
        <w:rPr>
          <w:rFonts w:hint="eastAsia" w:ascii="仿宋" w:hAnsi="仿宋" w:eastAsia="仿宋" w:cs="方正小标宋_GBK"/>
          <w:szCs w:val="21"/>
        </w:rPr>
      </w:pPr>
      <w:bookmarkStart w:id="0" w:name="_Hlk103189208"/>
    </w:p>
    <w:p w14:paraId="41646108">
      <w:pPr>
        <w:spacing w:line="800" w:lineRule="exact"/>
        <w:jc w:val="center"/>
        <w:rPr>
          <w:rFonts w:hint="eastAsia" w:ascii="方正小标宋简体" w:hAnsi="仿宋" w:eastAsia="方正小标宋简体" w:cs="方正小标宋_GBK"/>
          <w:b/>
          <w:bCs/>
          <w:sz w:val="52"/>
          <w:szCs w:val="52"/>
        </w:rPr>
      </w:pPr>
      <w:r>
        <w:rPr>
          <w:rFonts w:hint="eastAsia" w:ascii="方正小标宋简体" w:hAnsi="仿宋" w:eastAsia="方正小标宋简体" w:cs="方正小标宋_GBK"/>
          <w:b/>
          <w:bCs/>
          <w:sz w:val="52"/>
          <w:szCs w:val="52"/>
        </w:rPr>
        <w:t>四川轻化工大学采购实施计划</w:t>
      </w:r>
    </w:p>
    <w:p w14:paraId="42EB5044">
      <w:pPr>
        <w:spacing w:line="560" w:lineRule="exact"/>
        <w:jc w:val="left"/>
        <w:rPr>
          <w:rFonts w:hint="eastAsia" w:ascii="仿宋" w:hAnsi="仿宋" w:eastAsia="仿宋" w:cs="方正小标宋_GBK"/>
          <w:sz w:val="28"/>
          <w:szCs w:val="28"/>
        </w:rPr>
      </w:pPr>
    </w:p>
    <w:p w14:paraId="3E16103C">
      <w:pPr>
        <w:spacing w:line="560" w:lineRule="exact"/>
        <w:jc w:val="left"/>
        <w:rPr>
          <w:rFonts w:hint="eastAsia" w:ascii="仿宋" w:hAnsi="仿宋" w:eastAsia="仿宋" w:cs="方正小标宋_GBK"/>
          <w:sz w:val="28"/>
          <w:szCs w:val="28"/>
        </w:rPr>
      </w:pPr>
    </w:p>
    <w:p w14:paraId="6F463933">
      <w:pPr>
        <w:spacing w:line="560" w:lineRule="exact"/>
        <w:jc w:val="left"/>
        <w:rPr>
          <w:rFonts w:hint="eastAsia" w:ascii="仿宋" w:hAnsi="仿宋" w:eastAsia="仿宋" w:cs="方正小标宋_GBK"/>
          <w:sz w:val="28"/>
          <w:szCs w:val="28"/>
        </w:rPr>
      </w:pPr>
    </w:p>
    <w:p w14:paraId="7C6FCA95">
      <w:pPr>
        <w:spacing w:line="560" w:lineRule="exact"/>
        <w:jc w:val="left"/>
        <w:rPr>
          <w:rFonts w:hint="eastAsia" w:ascii="仿宋" w:hAnsi="仿宋" w:eastAsia="仿宋" w:cs="方正小标宋_GBK"/>
          <w:sz w:val="28"/>
          <w:szCs w:val="28"/>
        </w:rPr>
      </w:pPr>
    </w:p>
    <w:p w14:paraId="50727353">
      <w:pPr>
        <w:spacing w:line="560" w:lineRule="exact"/>
        <w:ind w:firstLine="1405" w:firstLineChars="500"/>
        <w:jc w:val="left"/>
        <w:rPr>
          <w:rFonts w:hint="eastAsia" w:ascii="黑体" w:hAnsi="黑体" w:eastAsia="黑体" w:cs="方正小标宋_GBK"/>
          <w:b/>
          <w:bCs/>
          <w:sz w:val="28"/>
          <w:szCs w:val="28"/>
          <w:u w:val="single"/>
        </w:rPr>
      </w:pPr>
      <w:r>
        <w:rPr>
          <w:rFonts w:hint="eastAsia" w:ascii="黑体" w:hAnsi="黑体" w:eastAsia="黑体" w:cs="方正小标宋_GBK"/>
          <w:b/>
          <w:bCs/>
          <w:sz w:val="28"/>
          <w:szCs w:val="28"/>
        </w:rPr>
        <w:t xml:space="preserve">项目名称：  </w:t>
      </w:r>
      <w:r>
        <w:rPr>
          <w:rFonts w:hint="eastAsia" w:ascii="黑体" w:hAnsi="黑体" w:eastAsia="黑体" w:cs="方正小标宋_GBK"/>
          <w:b/>
          <w:bCs/>
          <w:sz w:val="28"/>
          <w:szCs w:val="28"/>
          <w:u w:val="single"/>
        </w:rPr>
        <w:t xml:space="preserve">                       </w:t>
      </w:r>
      <w:r>
        <w:rPr>
          <w:rFonts w:hint="eastAsia" w:ascii="黑体" w:hAnsi="黑体" w:eastAsia="黑体" w:cs="方正小标宋_GBK"/>
          <w:b/>
          <w:bCs/>
          <w:sz w:val="28"/>
          <w:szCs w:val="28"/>
        </w:rPr>
        <w:t xml:space="preserve">    </w:t>
      </w:r>
    </w:p>
    <w:p w14:paraId="3B8631CE">
      <w:pPr>
        <w:spacing w:line="560" w:lineRule="exact"/>
        <w:jc w:val="left"/>
        <w:rPr>
          <w:rFonts w:hint="eastAsia" w:ascii="黑体" w:hAnsi="黑体" w:eastAsia="黑体" w:cs="方正小标宋_GBK"/>
          <w:b/>
          <w:bCs/>
          <w:sz w:val="28"/>
          <w:szCs w:val="28"/>
          <w:u w:val="single"/>
        </w:rPr>
      </w:pPr>
    </w:p>
    <w:p w14:paraId="2D208DBC">
      <w:pPr>
        <w:spacing w:line="560" w:lineRule="exact"/>
        <w:ind w:firstLine="1405" w:firstLineChars="500"/>
        <w:jc w:val="left"/>
        <w:rPr>
          <w:rFonts w:hint="eastAsia" w:ascii="黑体" w:hAnsi="黑体" w:eastAsia="黑体" w:cs="方正小标宋_GBK"/>
          <w:b/>
          <w:bCs/>
          <w:sz w:val="28"/>
          <w:szCs w:val="28"/>
        </w:rPr>
      </w:pPr>
      <w:r>
        <w:rPr>
          <w:rFonts w:hint="eastAsia" w:ascii="黑体" w:hAnsi="黑体" w:eastAsia="黑体" w:cs="方正小标宋_GBK"/>
          <w:b/>
          <w:bCs/>
          <w:sz w:val="28"/>
          <w:szCs w:val="28"/>
        </w:rPr>
        <w:t>预算总金额：</w:t>
      </w:r>
      <w:r>
        <w:rPr>
          <w:rFonts w:hint="eastAsia" w:ascii="黑体" w:hAnsi="黑体" w:eastAsia="黑体" w:cs="方正小标宋_GBK"/>
          <w:b/>
          <w:bCs/>
          <w:sz w:val="28"/>
          <w:szCs w:val="28"/>
          <w:u w:val="single"/>
        </w:rPr>
        <w:t xml:space="preserve">                 （元）</w:t>
      </w:r>
    </w:p>
    <w:p w14:paraId="51E2BB80">
      <w:pPr>
        <w:spacing w:line="560" w:lineRule="exact"/>
        <w:jc w:val="left"/>
        <w:rPr>
          <w:rFonts w:hint="eastAsia" w:ascii="黑体" w:hAnsi="黑体" w:eastAsia="黑体" w:cs="方正小标宋_GBK"/>
          <w:b/>
          <w:bCs/>
          <w:sz w:val="28"/>
          <w:szCs w:val="28"/>
        </w:rPr>
      </w:pPr>
    </w:p>
    <w:p w14:paraId="64BC8ABA">
      <w:pPr>
        <w:spacing w:line="560" w:lineRule="exact"/>
        <w:ind w:firstLine="1405" w:firstLineChars="500"/>
        <w:jc w:val="left"/>
        <w:rPr>
          <w:rFonts w:hint="eastAsia" w:ascii="黑体" w:hAnsi="黑体" w:eastAsia="黑体" w:cs="方正小标宋_GBK"/>
          <w:b/>
          <w:bCs/>
          <w:sz w:val="28"/>
          <w:szCs w:val="28"/>
          <w:u w:val="single"/>
        </w:rPr>
      </w:pPr>
      <w:r>
        <w:rPr>
          <w:rFonts w:hint="eastAsia" w:ascii="黑体" w:hAnsi="黑体" w:eastAsia="黑体" w:cs="方正小标宋_GBK"/>
          <w:b/>
          <w:bCs/>
          <w:sz w:val="28"/>
          <w:szCs w:val="28"/>
        </w:rPr>
        <w:t xml:space="preserve">所属年度：  </w:t>
      </w:r>
      <w:r>
        <w:rPr>
          <w:rFonts w:hint="eastAsia" w:ascii="黑体" w:hAnsi="黑体" w:eastAsia="黑体" w:cs="方正小标宋_GBK"/>
          <w:b/>
          <w:bCs/>
          <w:sz w:val="28"/>
          <w:szCs w:val="28"/>
          <w:u w:val="single"/>
        </w:rPr>
        <w:t xml:space="preserve">                       </w:t>
      </w:r>
    </w:p>
    <w:p w14:paraId="09170D0E">
      <w:pPr>
        <w:spacing w:line="560" w:lineRule="exact"/>
        <w:jc w:val="left"/>
        <w:rPr>
          <w:rFonts w:hint="eastAsia" w:ascii="黑体" w:hAnsi="黑体" w:eastAsia="黑体" w:cs="方正小标宋_GBK"/>
          <w:b/>
          <w:bCs/>
          <w:sz w:val="28"/>
          <w:szCs w:val="28"/>
        </w:rPr>
      </w:pPr>
    </w:p>
    <w:p w14:paraId="0840FD1A">
      <w:pPr>
        <w:spacing w:line="560" w:lineRule="exact"/>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 xml:space="preserve">  </w:t>
      </w:r>
    </w:p>
    <w:p w14:paraId="42A36251">
      <w:pPr>
        <w:spacing w:line="560" w:lineRule="exact"/>
        <w:jc w:val="left"/>
        <w:rPr>
          <w:rFonts w:hint="eastAsia" w:ascii="仿宋" w:hAnsi="仿宋" w:eastAsia="仿宋" w:cs="方正小标宋_GBK"/>
          <w:b/>
          <w:bCs/>
          <w:sz w:val="28"/>
          <w:szCs w:val="28"/>
        </w:rPr>
      </w:pPr>
    </w:p>
    <w:p w14:paraId="51077AB1">
      <w:pPr>
        <w:spacing w:line="560" w:lineRule="exact"/>
        <w:ind w:firstLine="1687" w:firstLineChars="600"/>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业务归口部门：</w:t>
      </w:r>
    </w:p>
    <w:p w14:paraId="091A473E">
      <w:pPr>
        <w:spacing w:line="560" w:lineRule="exact"/>
        <w:ind w:firstLine="1687" w:firstLineChars="600"/>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经费归口部门：</w:t>
      </w:r>
    </w:p>
    <w:p w14:paraId="2DB74B32">
      <w:pPr>
        <w:spacing w:line="560" w:lineRule="exact"/>
        <w:ind w:firstLine="1687" w:firstLineChars="600"/>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需求单位：</w:t>
      </w:r>
    </w:p>
    <w:p w14:paraId="017F96F2">
      <w:pPr>
        <w:spacing w:line="560" w:lineRule="exact"/>
        <w:ind w:firstLine="1687" w:firstLineChars="600"/>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需求单位负责人：</w:t>
      </w:r>
    </w:p>
    <w:p w14:paraId="62D5E3F1">
      <w:pPr>
        <w:spacing w:line="560" w:lineRule="exact"/>
        <w:ind w:firstLine="1687" w:firstLineChars="600"/>
        <w:jc w:val="left"/>
        <w:rPr>
          <w:rFonts w:hint="eastAsia" w:ascii="仿宋" w:hAnsi="仿宋" w:eastAsia="仿宋" w:cs="方正小标宋_GBK"/>
          <w:b/>
          <w:bCs/>
          <w:sz w:val="28"/>
          <w:szCs w:val="28"/>
        </w:rPr>
      </w:pPr>
      <w:r>
        <w:rPr>
          <w:rFonts w:hint="eastAsia" w:ascii="仿宋" w:hAnsi="仿宋" w:eastAsia="仿宋" w:cs="方正小标宋_GBK"/>
          <w:b/>
          <w:bCs/>
          <w:sz w:val="28"/>
          <w:szCs w:val="28"/>
        </w:rPr>
        <w:t>项目负责人（经办人）及联系电话：</w:t>
      </w:r>
    </w:p>
    <w:p w14:paraId="30EFB522">
      <w:pPr>
        <w:widowControl/>
        <w:jc w:val="left"/>
        <w:rPr>
          <w:rFonts w:hint="eastAsia" w:ascii="仿宋" w:hAnsi="仿宋" w:eastAsia="仿宋" w:cs="方正小标宋_GBK"/>
          <w:b/>
          <w:bCs/>
          <w:szCs w:val="21"/>
        </w:rPr>
      </w:pPr>
      <w:r>
        <w:rPr>
          <w:rFonts w:hint="eastAsia" w:ascii="仿宋" w:hAnsi="仿宋" w:eastAsia="仿宋" w:cs="方正小标宋_GBK"/>
          <w:b/>
          <w:bCs/>
          <w:szCs w:val="21"/>
        </w:rPr>
        <w:br w:type="page"/>
      </w:r>
    </w:p>
    <w:p w14:paraId="24E9A9B2">
      <w:pPr>
        <w:pStyle w:val="2"/>
        <w:spacing w:line="300" w:lineRule="exact"/>
        <w:ind w:firstLine="420" w:firstLineChars="200"/>
        <w:jc w:val="left"/>
        <w:rPr>
          <w:rFonts w:hint="eastAsia" w:ascii="黑体" w:hAnsi="黑体" w:eastAsia="黑体"/>
          <w:b w:val="0"/>
          <w:bCs/>
          <w:spacing w:val="20"/>
          <w:sz w:val="21"/>
          <w:szCs w:val="21"/>
        </w:rPr>
      </w:pPr>
      <w:r>
        <w:rPr>
          <w:rFonts w:hint="eastAsia" w:ascii="黑体" w:hAnsi="黑体" w:eastAsia="黑体"/>
          <w:b w:val="0"/>
          <w:bCs/>
          <w:sz w:val="21"/>
          <w:szCs w:val="21"/>
        </w:rPr>
        <w:t>★一、</w:t>
      </w:r>
      <w:r>
        <w:rPr>
          <w:rFonts w:hint="eastAsia" w:ascii="黑体" w:hAnsi="黑体" w:eastAsia="黑体"/>
          <w:b w:val="0"/>
          <w:bCs/>
          <w:spacing w:val="20"/>
          <w:sz w:val="21"/>
          <w:szCs w:val="21"/>
        </w:rPr>
        <w:t>项目总体情况</w:t>
      </w:r>
    </w:p>
    <w:p w14:paraId="331FD8B2">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（一）采购项目预算及最高限价</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3149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000" w:type="pct"/>
            <w:vAlign w:val="center"/>
          </w:tcPr>
          <w:p w14:paraId="67C905FE">
            <w:pPr>
              <w:pStyle w:val="10"/>
              <w:spacing w:line="300" w:lineRule="exact"/>
              <w:ind w:firstLine="420" w:firstLineChars="200"/>
              <w:jc w:val="left"/>
              <w:rPr>
                <w:rFonts w:hint="eastAsia" w:ascii="仿宋" w:hAnsi="仿宋" w:eastAsia="仿宋" w:cs="Courier New"/>
                <w:szCs w:val="21"/>
              </w:rPr>
            </w:pPr>
            <w:r>
              <w:rPr>
                <w:rFonts w:hint="eastAsia" w:ascii="仿宋" w:hAnsi="仿宋" w:eastAsia="仿宋" w:cs="Courier New"/>
                <w:szCs w:val="21"/>
              </w:rPr>
              <w:t>预算金额：</w:t>
            </w:r>
            <w:r>
              <w:rPr>
                <w:rFonts w:ascii="仿宋" w:hAnsi="仿宋" w:eastAsia="仿宋" w:cs="Courier New"/>
                <w:szCs w:val="21"/>
                <w:u w:val="single"/>
              </w:rPr>
              <w:t xml:space="preserve">              </w:t>
            </w:r>
            <w:r>
              <w:rPr>
                <w:rFonts w:hint="eastAsia" w:ascii="仿宋" w:hAnsi="仿宋" w:eastAsia="仿宋" w:cs="Courier New"/>
                <w:szCs w:val="21"/>
              </w:rPr>
              <w:t>（元）</w:t>
            </w:r>
            <w:r>
              <w:rPr>
                <w:rFonts w:ascii="仿宋" w:hAnsi="仿宋" w:eastAsia="仿宋" w:cs="Courier New"/>
                <w:szCs w:val="21"/>
              </w:rPr>
              <w:t xml:space="preserve">                </w:t>
            </w:r>
          </w:p>
          <w:p w14:paraId="25F7DF9B">
            <w:pPr>
              <w:pStyle w:val="10"/>
              <w:spacing w:line="300" w:lineRule="exact"/>
              <w:ind w:firstLine="420" w:firstLineChars="200"/>
              <w:jc w:val="left"/>
              <w:rPr>
                <w:rFonts w:hint="eastAsia" w:ascii="仿宋" w:hAnsi="仿宋" w:eastAsia="仿宋" w:cs="Courier New"/>
                <w:szCs w:val="21"/>
              </w:rPr>
            </w:pPr>
            <w:r>
              <w:rPr>
                <w:rFonts w:hint="eastAsia" w:ascii="仿宋" w:hAnsi="仿宋" w:eastAsia="仿宋" w:cs="Courier New"/>
                <w:szCs w:val="21"/>
              </w:rPr>
              <w:t>最高限价：</w:t>
            </w:r>
            <w:r>
              <w:rPr>
                <w:rFonts w:ascii="仿宋" w:hAnsi="仿宋" w:eastAsia="仿宋" w:cs="Courier New"/>
                <w:szCs w:val="21"/>
                <w:u w:val="single"/>
              </w:rPr>
              <w:t xml:space="preserve">      </w:t>
            </w:r>
            <w:r>
              <w:rPr>
                <w:rFonts w:hint="eastAsia" w:ascii="仿宋" w:hAnsi="仿宋" w:eastAsia="仿宋" w:cs="Courier New"/>
                <w:szCs w:val="21"/>
                <w:u w:val="single"/>
              </w:rPr>
              <w:t xml:space="preserve">    </w:t>
            </w:r>
            <w:r>
              <w:rPr>
                <w:rFonts w:ascii="仿宋" w:hAnsi="仿宋" w:eastAsia="仿宋" w:cs="Courier New"/>
                <w:szCs w:val="21"/>
                <w:u w:val="single"/>
              </w:rPr>
              <w:t xml:space="preserve">    </w:t>
            </w:r>
            <w:r>
              <w:rPr>
                <w:rFonts w:hint="eastAsia" w:ascii="仿宋" w:hAnsi="仿宋" w:eastAsia="仿宋" w:cs="Courier New"/>
                <w:szCs w:val="21"/>
              </w:rPr>
              <w:t>（元）</w:t>
            </w:r>
            <w:r>
              <w:rPr>
                <w:rFonts w:ascii="仿宋" w:hAnsi="仿宋" w:eastAsia="仿宋" w:cs="Courier New"/>
                <w:szCs w:val="21"/>
              </w:rPr>
              <w:t xml:space="preserve">  </w:t>
            </w:r>
          </w:p>
        </w:tc>
      </w:tr>
    </w:tbl>
    <w:p w14:paraId="7E115065">
      <w:pPr>
        <w:widowControl/>
        <w:shd w:val="clear" w:color="auto" w:fill="FFFFFF"/>
        <w:spacing w:line="300" w:lineRule="exact"/>
        <w:ind w:firstLine="500" w:firstLineChars="200"/>
        <w:jc w:val="left"/>
        <w:rPr>
          <w:rFonts w:hint="eastAsia" w:ascii="仿宋" w:hAnsi="仿宋" w:eastAsia="仿宋" w:cs="宋体"/>
          <w:spacing w:val="20"/>
          <w:kern w:val="0"/>
          <w:szCs w:val="21"/>
        </w:rPr>
      </w:pPr>
      <w:r>
        <w:rPr>
          <w:rFonts w:ascii="仿宋" w:hAnsi="仿宋" w:eastAsia="仿宋" w:cs="宋体"/>
          <w:spacing w:val="20"/>
          <w:kern w:val="0"/>
          <w:szCs w:val="21"/>
        </w:rPr>
        <w:t xml:space="preserve">     </w:t>
      </w:r>
      <w:r>
        <w:rPr>
          <w:rFonts w:ascii="Calibri" w:hAnsi="Calibri" w:eastAsia="仿宋" w:cs="Calibri"/>
          <w:spacing w:val="20"/>
          <w:kern w:val="0"/>
          <w:szCs w:val="21"/>
        </w:rPr>
        <w:t> </w:t>
      </w:r>
    </w:p>
    <w:p w14:paraId="79461DE9">
      <w:pPr>
        <w:pStyle w:val="3"/>
        <w:spacing w:line="300" w:lineRule="exact"/>
        <w:ind w:firstLine="500" w:firstLineChars="200"/>
        <w:rPr>
          <w:rFonts w:hint="eastAsia" w:ascii="仿宋" w:hAnsi="仿宋" w:eastAsia="仿宋"/>
          <w:spacing w:val="20"/>
          <w:sz w:val="21"/>
          <w:szCs w:val="21"/>
        </w:rPr>
      </w:pPr>
      <w:r>
        <w:rPr>
          <w:rFonts w:hint="eastAsia" w:ascii="楷体" w:hAnsi="楷体" w:eastAsia="楷体"/>
          <w:b w:val="0"/>
          <w:bCs w:val="0"/>
          <w:spacing w:val="20"/>
          <w:sz w:val="21"/>
          <w:szCs w:val="21"/>
        </w:rPr>
        <w:t>（二）项目概况</w:t>
      </w:r>
      <w:r>
        <w:rPr>
          <w:rFonts w:hint="eastAsia" w:ascii="仿宋" w:hAnsi="仿宋" w:eastAsia="仿宋"/>
          <w:b w:val="0"/>
          <w:bCs w:val="0"/>
          <w:spacing w:val="20"/>
          <w:sz w:val="21"/>
          <w:szCs w:val="21"/>
        </w:rPr>
        <w:t>（项目背景或必要性、依据、用途说明、项目范围或内容等，原则上200字以内）</w:t>
      </w:r>
      <w:r>
        <w:rPr>
          <w:rFonts w:ascii="仿宋" w:hAnsi="仿宋" w:eastAsia="仿宋"/>
          <w:spacing w:val="20"/>
          <w:sz w:val="21"/>
          <w:szCs w:val="21"/>
        </w:rPr>
        <w:t xml:space="preserve">             </w:t>
      </w: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7746"/>
      </w:tblGrid>
      <w:tr w14:paraId="0DDF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20" w:type="pct"/>
            <w:vAlign w:val="center"/>
          </w:tcPr>
          <w:p w14:paraId="11F67127">
            <w:pPr>
              <w:pStyle w:val="10"/>
              <w:spacing w:line="300" w:lineRule="exact"/>
              <w:jc w:val="center"/>
              <w:rPr>
                <w:rFonts w:hint="eastAsia" w:ascii="仿宋" w:hAnsi="仿宋" w:eastAsia="仿宋" w:cs="Courier New"/>
                <w:szCs w:val="21"/>
              </w:rPr>
            </w:pPr>
            <w:r>
              <w:rPr>
                <w:rFonts w:hint="eastAsia" w:ascii="仿宋" w:hAnsi="仿宋" w:eastAsia="仿宋" w:cs="宋体"/>
                <w:spacing w:val="20"/>
                <w:szCs w:val="21"/>
              </w:rPr>
              <w:t>项目概况</w:t>
            </w:r>
          </w:p>
        </w:tc>
        <w:tc>
          <w:tcPr>
            <w:tcW w:w="4280" w:type="pct"/>
            <w:vAlign w:val="center"/>
          </w:tcPr>
          <w:p w14:paraId="365FA23C">
            <w:pPr>
              <w:pStyle w:val="10"/>
              <w:spacing w:line="300" w:lineRule="exact"/>
              <w:ind w:firstLine="420" w:firstLineChars="200"/>
              <w:jc w:val="left"/>
              <w:rPr>
                <w:rFonts w:hint="eastAsia" w:ascii="仿宋" w:hAnsi="仿宋" w:eastAsia="仿宋" w:cs="Courier New"/>
                <w:szCs w:val="21"/>
              </w:rPr>
            </w:pPr>
          </w:p>
        </w:tc>
      </w:tr>
    </w:tbl>
    <w:p w14:paraId="59E5296E">
      <w:pPr>
        <w:pStyle w:val="3"/>
        <w:spacing w:line="300" w:lineRule="exact"/>
        <w:ind w:firstLine="502" w:firstLineChars="200"/>
        <w:rPr>
          <w:rFonts w:hint="eastAsia" w:ascii="仿宋" w:hAnsi="仿宋" w:eastAsia="仿宋"/>
          <w:spacing w:val="20"/>
          <w:sz w:val="21"/>
          <w:szCs w:val="21"/>
        </w:rPr>
      </w:pPr>
    </w:p>
    <w:p w14:paraId="477338C7">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（三）是否进口产品</w:t>
      </w:r>
      <w:r>
        <w:rPr>
          <w:rFonts w:ascii="楷体" w:hAnsi="楷体" w:eastAsia="楷体"/>
          <w:b w:val="0"/>
          <w:bCs w:val="0"/>
          <w:spacing w:val="20"/>
          <w:sz w:val="21"/>
          <w:szCs w:val="21"/>
        </w:rPr>
        <w:t xml:space="preserve">             </w:t>
      </w: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7746"/>
      </w:tblGrid>
      <w:tr w14:paraId="7B481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20" w:type="pct"/>
            <w:vAlign w:val="center"/>
          </w:tcPr>
          <w:p w14:paraId="2A55FFA3">
            <w:pPr>
              <w:pStyle w:val="10"/>
              <w:spacing w:line="300" w:lineRule="exact"/>
              <w:jc w:val="center"/>
              <w:rPr>
                <w:rFonts w:hint="eastAsia" w:ascii="仿宋" w:hAnsi="仿宋" w:eastAsia="仿宋" w:cs="宋体"/>
                <w:spacing w:val="20"/>
                <w:szCs w:val="21"/>
              </w:rPr>
            </w:pPr>
            <w:r>
              <w:rPr>
                <w:rFonts w:hint="eastAsia" w:ascii="仿宋" w:hAnsi="仿宋" w:eastAsia="仿宋" w:cs="宋体"/>
                <w:spacing w:val="20"/>
                <w:szCs w:val="21"/>
              </w:rPr>
              <w:t>进口产品</w:t>
            </w:r>
          </w:p>
        </w:tc>
        <w:tc>
          <w:tcPr>
            <w:tcW w:w="4280" w:type="pct"/>
            <w:vAlign w:val="center"/>
          </w:tcPr>
          <w:p w14:paraId="1E833330">
            <w:pPr>
              <w:pStyle w:val="10"/>
              <w:spacing w:line="300" w:lineRule="exact"/>
              <w:jc w:val="left"/>
              <w:rPr>
                <w:rFonts w:hint="eastAsia" w:ascii="仿宋" w:hAnsi="仿宋" w:eastAsia="仿宋" w:cs="宋体"/>
                <w:spacing w:val="20"/>
                <w:szCs w:val="21"/>
              </w:rPr>
            </w:pPr>
            <w:r>
              <w:rPr>
                <w:rFonts w:hint="eastAsia" w:ascii="仿宋" w:hAnsi="仿宋" w:eastAsia="仿宋" w:cs="宋体"/>
                <w:spacing w:val="20"/>
                <w:szCs w:val="21"/>
              </w:rPr>
              <w:sym w:font="Wingdings 2" w:char="00A3"/>
            </w:r>
            <w:r>
              <w:rPr>
                <w:rFonts w:hint="eastAsia" w:ascii="仿宋" w:hAnsi="仿宋" w:eastAsia="仿宋" w:cs="宋体"/>
                <w:spacing w:val="20"/>
                <w:szCs w:val="21"/>
              </w:rPr>
              <w:t>是（附校长办公会或党委常委会决议）</w:t>
            </w:r>
            <w:r>
              <w:rPr>
                <w:rFonts w:ascii="仿宋" w:hAnsi="仿宋" w:eastAsia="仿宋" w:cs="宋体"/>
                <w:spacing w:val="20"/>
                <w:szCs w:val="21"/>
              </w:rPr>
              <w:t xml:space="preserve">    </w:t>
            </w:r>
          </w:p>
          <w:p w14:paraId="403CE5C9">
            <w:pPr>
              <w:pStyle w:val="10"/>
              <w:spacing w:line="300" w:lineRule="exact"/>
              <w:jc w:val="left"/>
              <w:rPr>
                <w:rFonts w:hint="eastAsia" w:ascii="仿宋" w:hAnsi="仿宋" w:eastAsia="仿宋" w:cs="宋体"/>
                <w:spacing w:val="20"/>
                <w:szCs w:val="21"/>
              </w:rPr>
            </w:pPr>
            <w:r>
              <w:rPr>
                <w:rFonts w:hint="eastAsia" w:ascii="仿宋" w:hAnsi="仿宋" w:eastAsia="仿宋" w:cs="Courier New"/>
                <w:szCs w:val="21"/>
              </w:rPr>
              <w:sym w:font="Wingdings 2" w:char="00A3"/>
            </w:r>
            <w:r>
              <w:rPr>
                <w:rFonts w:hint="eastAsia" w:ascii="仿宋" w:hAnsi="仿宋" w:eastAsia="仿宋" w:cs="宋体"/>
                <w:spacing w:val="20"/>
                <w:szCs w:val="21"/>
              </w:rPr>
              <w:t>否</w:t>
            </w:r>
          </w:p>
        </w:tc>
      </w:tr>
    </w:tbl>
    <w:p w14:paraId="1739141A">
      <w:pPr>
        <w:widowControl/>
        <w:shd w:val="clear" w:color="auto" w:fill="FFFFFF"/>
        <w:spacing w:line="300" w:lineRule="exact"/>
        <w:ind w:firstLine="500" w:firstLineChars="200"/>
        <w:jc w:val="left"/>
        <w:rPr>
          <w:rFonts w:hint="eastAsia" w:ascii="仿宋" w:hAnsi="仿宋" w:eastAsia="仿宋" w:cs="宋体"/>
          <w:spacing w:val="20"/>
          <w:kern w:val="0"/>
          <w:szCs w:val="21"/>
        </w:rPr>
      </w:pPr>
      <w:r>
        <w:rPr>
          <w:rFonts w:ascii="仿宋" w:hAnsi="仿宋" w:eastAsia="仿宋" w:cs="宋体"/>
          <w:spacing w:val="20"/>
          <w:kern w:val="0"/>
          <w:szCs w:val="21"/>
        </w:rPr>
        <w:t xml:space="preserve">                              </w:t>
      </w:r>
    </w:p>
    <w:p w14:paraId="03C4E252">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（四）本项目是否有为项目提供整体设计、规范编制或者项目管理、监理、检测等服务的供应商</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79AC3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5000" w:type="pct"/>
            <w:vAlign w:val="center"/>
          </w:tcPr>
          <w:p w14:paraId="00AE565D">
            <w:pPr>
              <w:widowControl/>
              <w:shd w:val="clear" w:color="auto" w:fill="FFFFFF"/>
              <w:spacing w:line="300" w:lineRule="exact"/>
              <w:ind w:firstLine="420" w:firstLineChars="200"/>
              <w:jc w:val="left"/>
              <w:rPr>
                <w:rFonts w:hint="eastAsia" w:ascii="仿宋" w:hAnsi="仿宋" w:eastAsia="仿宋" w:cs="仿宋"/>
                <w:spacing w:val="20"/>
                <w:kern w:val="0"/>
                <w:szCs w:val="21"/>
              </w:rPr>
            </w:pPr>
            <w:r>
              <w:rPr>
                <w:rFonts w:hint="eastAsia" w:ascii="仿宋" w:hAnsi="仿宋" w:eastAsia="仿宋" w:cs="Courier New"/>
                <w:szCs w:val="21"/>
              </w:rPr>
              <w:sym w:font="Wingdings 2" w:char="00A3"/>
            </w:r>
            <w:r>
              <w:rPr>
                <w:rFonts w:ascii="仿宋" w:hAnsi="仿宋" w:eastAsia="仿宋" w:cs="宋体"/>
                <w:spacing w:val="20"/>
                <w:kern w:val="0"/>
                <w:szCs w:val="21"/>
              </w:rPr>
              <w:t xml:space="preserve"> </w:t>
            </w:r>
            <w:r>
              <w:rPr>
                <w:rFonts w:hint="eastAsia" w:ascii="仿宋" w:hAnsi="仿宋" w:eastAsia="仿宋" w:cs="仿宋"/>
                <w:spacing w:val="20"/>
                <w:kern w:val="0"/>
                <w:szCs w:val="21"/>
              </w:rPr>
              <w:t>是</w:t>
            </w:r>
          </w:p>
          <w:p w14:paraId="332B1219">
            <w:pPr>
              <w:widowControl/>
              <w:shd w:val="clear" w:color="auto" w:fill="FFFFFF"/>
              <w:spacing w:line="300" w:lineRule="exact"/>
              <w:ind w:firstLine="500" w:firstLineChars="200"/>
              <w:jc w:val="left"/>
              <w:rPr>
                <w:rFonts w:hint="eastAsia" w:ascii="仿宋" w:hAnsi="仿宋" w:eastAsia="仿宋" w:cs="仿宋"/>
                <w:spacing w:val="20"/>
                <w:kern w:val="0"/>
                <w:szCs w:val="21"/>
              </w:rPr>
            </w:pPr>
            <w:r>
              <w:rPr>
                <w:rFonts w:hint="eastAsia" w:ascii="仿宋" w:hAnsi="仿宋" w:eastAsia="仿宋" w:cs="仿宋"/>
                <w:spacing w:val="20"/>
                <w:kern w:val="0"/>
                <w:szCs w:val="21"/>
              </w:rPr>
              <w:t>供应商名称（全称）：</w:t>
            </w:r>
            <w:r>
              <w:rPr>
                <w:rFonts w:hint="eastAsia" w:ascii="仿宋" w:hAnsi="仿宋" w:eastAsia="仿宋" w:cs="仿宋"/>
                <w:spacing w:val="20"/>
                <w:kern w:val="0"/>
                <w:szCs w:val="21"/>
                <w:u w:val="single"/>
              </w:rPr>
              <w:t xml:space="preserve">     </w:t>
            </w:r>
            <w:r>
              <w:rPr>
                <w:rFonts w:ascii="仿宋" w:hAnsi="仿宋" w:eastAsia="仿宋" w:cs="仿宋"/>
                <w:spacing w:val="20"/>
                <w:kern w:val="0"/>
                <w:szCs w:val="21"/>
                <w:u w:val="single"/>
              </w:rPr>
              <w:t xml:space="preserve"> </w:t>
            </w:r>
            <w:r>
              <w:rPr>
                <w:rFonts w:hint="eastAsia" w:ascii="仿宋" w:hAnsi="仿宋" w:eastAsia="仿宋" w:cs="仿宋"/>
                <w:spacing w:val="20"/>
                <w:kern w:val="0"/>
                <w:szCs w:val="21"/>
                <w:u w:val="single"/>
              </w:rPr>
              <w:t xml:space="preserve"> </w:t>
            </w:r>
            <w:r>
              <w:rPr>
                <w:rFonts w:ascii="仿宋" w:hAnsi="仿宋" w:eastAsia="仿宋" w:cs="仿宋"/>
                <w:spacing w:val="20"/>
                <w:kern w:val="0"/>
                <w:szCs w:val="21"/>
                <w:u w:val="single"/>
              </w:rPr>
              <w:t xml:space="preserve"> </w:t>
            </w:r>
            <w:r>
              <w:rPr>
                <w:rFonts w:hint="eastAsia" w:ascii="仿宋" w:hAnsi="仿宋" w:eastAsia="仿宋" w:cs="仿宋"/>
                <w:spacing w:val="20"/>
                <w:kern w:val="0"/>
                <w:szCs w:val="21"/>
                <w:u w:val="single"/>
              </w:rPr>
              <w:t xml:space="preserve">        </w:t>
            </w:r>
            <w:r>
              <w:rPr>
                <w:rFonts w:ascii="仿宋" w:hAnsi="仿宋" w:eastAsia="仿宋" w:cs="仿宋"/>
                <w:spacing w:val="20"/>
                <w:kern w:val="0"/>
                <w:szCs w:val="21"/>
                <w:u w:val="single"/>
              </w:rPr>
              <w:t xml:space="preserve">     </w:t>
            </w:r>
          </w:p>
          <w:p w14:paraId="1662064D">
            <w:pPr>
              <w:widowControl/>
              <w:shd w:val="clear" w:color="auto" w:fill="FFFFFF"/>
              <w:spacing w:line="300" w:lineRule="exact"/>
              <w:ind w:firstLine="500" w:firstLineChars="200"/>
              <w:jc w:val="left"/>
              <w:rPr>
                <w:rFonts w:hint="eastAsia" w:ascii="仿宋" w:hAnsi="仿宋" w:eastAsia="仿宋" w:cs="仿宋"/>
                <w:spacing w:val="20"/>
                <w:kern w:val="0"/>
                <w:szCs w:val="21"/>
              </w:rPr>
            </w:pPr>
            <w:r>
              <w:rPr>
                <w:rFonts w:hint="eastAsia" w:ascii="仿宋" w:hAnsi="仿宋" w:eastAsia="仿宋" w:cs="仿宋"/>
                <w:spacing w:val="20"/>
                <w:kern w:val="0"/>
                <w:szCs w:val="21"/>
              </w:rPr>
              <w:t>供应商统一社会信用代码：</w:t>
            </w:r>
            <w:r>
              <w:rPr>
                <w:rFonts w:ascii="仿宋" w:hAnsi="仿宋" w:eastAsia="仿宋" w:cs="仿宋"/>
                <w:spacing w:val="20"/>
                <w:kern w:val="0"/>
                <w:szCs w:val="21"/>
                <w:u w:val="single"/>
              </w:rPr>
              <w:t xml:space="preserve">   </w:t>
            </w:r>
            <w:r>
              <w:rPr>
                <w:rFonts w:hint="eastAsia" w:ascii="仿宋" w:hAnsi="仿宋" w:eastAsia="仿宋" w:cs="仿宋"/>
                <w:spacing w:val="20"/>
                <w:kern w:val="0"/>
                <w:szCs w:val="21"/>
                <w:u w:val="single"/>
              </w:rPr>
              <w:t xml:space="preserve"> </w:t>
            </w:r>
            <w:r>
              <w:rPr>
                <w:rFonts w:ascii="仿宋" w:hAnsi="仿宋" w:eastAsia="仿宋" w:cs="仿宋"/>
                <w:spacing w:val="20"/>
                <w:kern w:val="0"/>
                <w:szCs w:val="21"/>
                <w:u w:val="single"/>
              </w:rPr>
              <w:t xml:space="preserve"> </w:t>
            </w:r>
            <w:r>
              <w:rPr>
                <w:rFonts w:hint="eastAsia" w:ascii="仿宋" w:hAnsi="仿宋" w:eastAsia="仿宋" w:cs="仿宋"/>
                <w:spacing w:val="20"/>
                <w:kern w:val="0"/>
                <w:szCs w:val="21"/>
                <w:u w:val="single"/>
              </w:rPr>
              <w:t xml:space="preserve">       </w:t>
            </w:r>
            <w:r>
              <w:rPr>
                <w:rFonts w:ascii="仿宋" w:hAnsi="仿宋" w:eastAsia="仿宋" w:cs="仿宋"/>
                <w:spacing w:val="20"/>
                <w:kern w:val="0"/>
                <w:szCs w:val="21"/>
                <w:u w:val="single"/>
              </w:rPr>
              <w:t xml:space="preserve">      </w:t>
            </w:r>
          </w:p>
          <w:p w14:paraId="49987ACF">
            <w:pPr>
              <w:widowControl/>
              <w:shd w:val="clear" w:color="auto" w:fill="FFFFFF"/>
              <w:spacing w:line="300" w:lineRule="exact"/>
              <w:ind w:firstLine="420" w:firstLineChars="200"/>
              <w:jc w:val="left"/>
              <w:rPr>
                <w:rFonts w:hint="eastAsia" w:ascii="仿宋" w:hAnsi="仿宋" w:eastAsia="仿宋" w:cs="Courier New"/>
                <w:szCs w:val="21"/>
              </w:rPr>
            </w:pPr>
            <w:r>
              <w:rPr>
                <w:rFonts w:hint="eastAsia" w:ascii="仿宋" w:hAnsi="仿宋" w:eastAsia="仿宋" w:cs="Courier New"/>
                <w:szCs w:val="21"/>
              </w:rPr>
              <w:sym w:font="Wingdings 2" w:char="00A3"/>
            </w:r>
            <w:r>
              <w:rPr>
                <w:rFonts w:ascii="仿宋" w:hAnsi="仿宋" w:eastAsia="仿宋" w:cs="仿宋"/>
                <w:spacing w:val="20"/>
                <w:kern w:val="0"/>
                <w:szCs w:val="21"/>
              </w:rPr>
              <w:t xml:space="preserve"> </w:t>
            </w:r>
            <w:r>
              <w:rPr>
                <w:rFonts w:hint="eastAsia" w:ascii="仿宋" w:hAnsi="仿宋" w:eastAsia="仿宋" w:cs="仿宋"/>
                <w:spacing w:val="20"/>
                <w:kern w:val="0"/>
                <w:szCs w:val="21"/>
              </w:rPr>
              <w:t>否</w:t>
            </w:r>
            <w:r>
              <w:rPr>
                <w:rFonts w:ascii="仿宋" w:hAnsi="仿宋" w:eastAsia="仿宋" w:cs="Courier New"/>
                <w:szCs w:val="21"/>
              </w:rPr>
              <w:t xml:space="preserve">  </w:t>
            </w:r>
          </w:p>
        </w:tc>
      </w:tr>
    </w:tbl>
    <w:p w14:paraId="5E049CC0">
      <w:pPr>
        <w:pStyle w:val="3"/>
        <w:spacing w:line="300" w:lineRule="exact"/>
        <w:ind w:firstLine="500" w:firstLineChars="200"/>
        <w:rPr>
          <w:rFonts w:hint="eastAsia" w:ascii="仿宋" w:hAnsi="仿宋" w:eastAsia="仿宋" w:cs="仿宋_GB2312"/>
          <w:b w:val="0"/>
          <w:bCs w:val="0"/>
          <w:sz w:val="21"/>
          <w:szCs w:val="21"/>
          <w:shd w:val="clear" w:color="auto" w:fill="FFFFFF"/>
        </w:rPr>
      </w:pPr>
      <w:r>
        <w:rPr>
          <w:rFonts w:hint="eastAsia" w:ascii="仿宋" w:hAnsi="仿宋" w:eastAsia="仿宋"/>
          <w:b w:val="0"/>
          <w:bCs w:val="0"/>
          <w:spacing w:val="20"/>
          <w:sz w:val="21"/>
          <w:szCs w:val="21"/>
        </w:rPr>
        <w:t>（注：</w:t>
      </w:r>
      <w:r>
        <w:rPr>
          <w:rFonts w:hint="eastAsia" w:ascii="仿宋" w:hAnsi="仿宋" w:eastAsia="仿宋" w:cs="仿宋_GB2312"/>
          <w:b w:val="0"/>
          <w:bCs w:val="0"/>
          <w:sz w:val="21"/>
          <w:szCs w:val="21"/>
          <w:shd w:val="clear" w:color="auto" w:fill="FFFFFF"/>
        </w:rPr>
        <w:t>为本项目提供采购需求编制（包括但不限于整体设计、规范编制、项目管理、监理、检测等服务的机构，不得再参加本项目的其他采购活动）</w:t>
      </w:r>
    </w:p>
    <w:p w14:paraId="474CE2BF">
      <w:pPr>
        <w:spacing w:line="300" w:lineRule="exact"/>
        <w:ind w:firstLine="420" w:firstLineChars="200"/>
        <w:rPr>
          <w:rFonts w:hint="eastAsia"/>
          <w:szCs w:val="21"/>
        </w:rPr>
      </w:pPr>
    </w:p>
    <w:p w14:paraId="1E12C422">
      <w:pPr>
        <w:pStyle w:val="2"/>
        <w:spacing w:line="300" w:lineRule="exact"/>
        <w:ind w:firstLine="420" w:firstLineChars="200"/>
        <w:jc w:val="left"/>
        <w:rPr>
          <w:rFonts w:hint="eastAsia" w:ascii="黑体" w:hAnsi="黑体" w:eastAsia="黑体"/>
          <w:b w:val="0"/>
          <w:bCs/>
          <w:spacing w:val="20"/>
          <w:sz w:val="21"/>
          <w:szCs w:val="21"/>
        </w:rPr>
      </w:pPr>
      <w:r>
        <w:rPr>
          <w:rFonts w:hint="eastAsia" w:ascii="黑体" w:hAnsi="黑体" w:eastAsia="黑体"/>
          <w:b w:val="0"/>
          <w:bCs/>
          <w:sz w:val="21"/>
          <w:szCs w:val="21"/>
        </w:rPr>
        <w:t>★</w:t>
      </w:r>
      <w:r>
        <w:rPr>
          <w:rFonts w:hint="eastAsia" w:ascii="黑体" w:hAnsi="黑体" w:eastAsia="黑体"/>
          <w:b w:val="0"/>
          <w:bCs/>
          <w:spacing w:val="20"/>
          <w:sz w:val="21"/>
          <w:szCs w:val="21"/>
        </w:rPr>
        <w:t>二、项目需求调查情况</w:t>
      </w:r>
    </w:p>
    <w:p w14:paraId="04F9FD38">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（一）需求调查方式</w:t>
      </w:r>
    </w:p>
    <w:tbl>
      <w:tblPr>
        <w:tblStyle w:val="14"/>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1"/>
      </w:tblGrid>
      <w:tr w14:paraId="4E61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000" w:type="pct"/>
            <w:vAlign w:val="center"/>
          </w:tcPr>
          <w:p w14:paraId="05740146">
            <w:pPr>
              <w:widowControl/>
              <w:shd w:val="clear" w:color="auto" w:fill="FFFFFF"/>
              <w:spacing w:line="300" w:lineRule="exact"/>
              <w:ind w:firstLine="420" w:firstLineChars="200"/>
              <w:jc w:val="left"/>
              <w:rPr>
                <w:rFonts w:hint="eastAsia" w:ascii="仿宋" w:hAnsi="仿宋" w:eastAsia="仿宋" w:cs="Courier New"/>
                <w:szCs w:val="21"/>
              </w:rPr>
            </w:pPr>
            <w:r>
              <w:rPr>
                <w:rFonts w:hint="eastAsia" w:ascii="仿宋" w:hAnsi="仿宋" w:eastAsia="仿宋" w:cs="Courier New"/>
                <w:szCs w:val="21"/>
              </w:rPr>
              <w:sym w:font="Wingdings 2" w:char="F0A3"/>
            </w:r>
            <w:r>
              <w:rPr>
                <w:rFonts w:hint="eastAsia" w:ascii="仿宋" w:hAnsi="仿宋" w:eastAsia="仿宋" w:cs="仿宋_GB2312"/>
                <w:spacing w:val="20"/>
                <w:kern w:val="0"/>
                <w:szCs w:val="21"/>
              </w:rPr>
              <w:t>咨询</w:t>
            </w:r>
            <w:r>
              <w:rPr>
                <w:rFonts w:ascii="仿宋" w:hAnsi="仿宋" w:eastAsia="仿宋" w:cs="仿宋_GB2312"/>
                <w:spacing w:val="20"/>
                <w:kern w:val="0"/>
                <w:szCs w:val="21"/>
              </w:rPr>
              <w:t xml:space="preserve">    </w:t>
            </w:r>
            <w:r>
              <w:rPr>
                <w:rFonts w:hint="eastAsia" w:ascii="仿宋" w:hAnsi="仿宋" w:eastAsia="仿宋" w:cs="Courier New"/>
                <w:szCs w:val="21"/>
              </w:rPr>
              <w:sym w:font="Wingdings 2" w:char="F0A3"/>
            </w:r>
            <w:r>
              <w:rPr>
                <w:rFonts w:hint="eastAsia" w:ascii="仿宋" w:hAnsi="仿宋" w:eastAsia="仿宋" w:cs="仿宋_GB2312"/>
                <w:spacing w:val="20"/>
                <w:kern w:val="0"/>
                <w:szCs w:val="21"/>
              </w:rPr>
              <w:t>论证</w:t>
            </w:r>
            <w:r>
              <w:rPr>
                <w:rFonts w:ascii="仿宋" w:hAnsi="仿宋" w:eastAsia="仿宋" w:cs="仿宋_GB2312"/>
                <w:spacing w:val="20"/>
                <w:kern w:val="0"/>
                <w:szCs w:val="21"/>
              </w:rPr>
              <w:t xml:space="preserve">      </w:t>
            </w:r>
            <w:r>
              <w:rPr>
                <w:rFonts w:hint="eastAsia" w:ascii="仿宋" w:hAnsi="仿宋" w:eastAsia="仿宋" w:cs="Courier New"/>
                <w:szCs w:val="21"/>
              </w:rPr>
              <w:sym w:font="Wingdings 2" w:char="F0A3"/>
            </w:r>
            <w:r>
              <w:rPr>
                <w:rFonts w:hint="eastAsia" w:ascii="仿宋" w:hAnsi="仿宋" w:eastAsia="仿宋" w:cs="仿宋_GB2312"/>
                <w:spacing w:val="20"/>
                <w:kern w:val="0"/>
                <w:szCs w:val="21"/>
              </w:rPr>
              <w:t>调查问卷</w:t>
            </w:r>
            <w:r>
              <w:rPr>
                <w:rFonts w:ascii="仿宋" w:hAnsi="仿宋" w:eastAsia="仿宋" w:cs="仿宋_GB2312"/>
                <w:spacing w:val="20"/>
                <w:kern w:val="0"/>
                <w:szCs w:val="21"/>
              </w:rPr>
              <w:t xml:space="preserve"> </w:t>
            </w:r>
          </w:p>
        </w:tc>
      </w:tr>
    </w:tbl>
    <w:p w14:paraId="76CF71B4">
      <w:pPr>
        <w:pStyle w:val="3"/>
        <w:spacing w:line="300" w:lineRule="exact"/>
        <w:ind w:firstLine="502" w:firstLineChars="200"/>
        <w:rPr>
          <w:rFonts w:hint="eastAsia" w:ascii="仿宋" w:hAnsi="仿宋" w:eastAsia="仿宋"/>
          <w:spacing w:val="20"/>
          <w:sz w:val="21"/>
          <w:szCs w:val="21"/>
        </w:rPr>
      </w:pPr>
    </w:p>
    <w:p w14:paraId="0ED8B71B">
      <w:pPr>
        <w:pStyle w:val="3"/>
        <w:spacing w:line="300" w:lineRule="exact"/>
        <w:ind w:firstLine="500" w:firstLineChars="200"/>
        <w:rPr>
          <w:rFonts w:hint="eastAsia" w:ascii="仿宋" w:hAnsi="仿宋" w:eastAsia="仿宋"/>
          <w:spacing w:val="20"/>
          <w:sz w:val="21"/>
          <w:szCs w:val="21"/>
        </w:rPr>
      </w:pPr>
      <w:r>
        <w:rPr>
          <w:rFonts w:hint="eastAsia" w:ascii="楷体" w:hAnsi="楷体" w:eastAsia="楷体"/>
          <w:b w:val="0"/>
          <w:bCs w:val="0"/>
          <w:spacing w:val="20"/>
          <w:sz w:val="21"/>
          <w:szCs w:val="21"/>
        </w:rPr>
        <w:t>（二）需求调查对象</w:t>
      </w:r>
      <w:r>
        <w:rPr>
          <w:rFonts w:hint="eastAsia" w:ascii="仿宋" w:hAnsi="仿宋" w:eastAsia="仿宋"/>
          <w:b w:val="0"/>
          <w:bCs w:val="0"/>
          <w:spacing w:val="20"/>
          <w:sz w:val="21"/>
          <w:szCs w:val="21"/>
        </w:rPr>
        <w:t>（供应商不少于</w:t>
      </w:r>
      <w:r>
        <w:rPr>
          <w:rFonts w:ascii="仿宋" w:hAnsi="仿宋" w:eastAsia="仿宋"/>
          <w:b w:val="0"/>
          <w:bCs w:val="0"/>
          <w:spacing w:val="20"/>
          <w:sz w:val="21"/>
          <w:szCs w:val="21"/>
        </w:rPr>
        <w:t>3</w:t>
      </w:r>
      <w:r>
        <w:rPr>
          <w:rFonts w:hint="eastAsia" w:ascii="仿宋" w:hAnsi="仿宋" w:eastAsia="仿宋"/>
          <w:b w:val="0"/>
          <w:bCs w:val="0"/>
          <w:spacing w:val="20"/>
          <w:sz w:val="21"/>
          <w:szCs w:val="21"/>
        </w:rPr>
        <w:t>家）</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689"/>
        <w:gridCol w:w="2220"/>
        <w:gridCol w:w="2220"/>
      </w:tblGrid>
      <w:tr w14:paraId="4851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 w:type="pct"/>
            <w:vAlign w:val="center"/>
          </w:tcPr>
          <w:p w14:paraId="2D7C80DC">
            <w:pPr>
              <w:spacing w:line="300" w:lineRule="exact"/>
              <w:jc w:val="center"/>
              <w:rPr>
                <w:rFonts w:hint="eastAsia" w:ascii="仿宋" w:hAnsi="仿宋" w:eastAsia="仿宋"/>
                <w:szCs w:val="21"/>
              </w:rPr>
            </w:pPr>
            <w:r>
              <w:rPr>
                <w:rFonts w:ascii="仿宋" w:hAnsi="仿宋" w:eastAsia="仿宋"/>
                <w:szCs w:val="21"/>
              </w:rPr>
              <w:t>序号</w:t>
            </w:r>
          </w:p>
        </w:tc>
        <w:tc>
          <w:tcPr>
            <w:tcW w:w="2035" w:type="pct"/>
            <w:vAlign w:val="center"/>
          </w:tcPr>
          <w:p w14:paraId="1C683DAF">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供应商名称</w:t>
            </w:r>
          </w:p>
        </w:tc>
        <w:tc>
          <w:tcPr>
            <w:tcW w:w="1226" w:type="pct"/>
            <w:vAlign w:val="center"/>
          </w:tcPr>
          <w:p w14:paraId="66131A2B">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联系人</w:t>
            </w:r>
          </w:p>
        </w:tc>
        <w:tc>
          <w:tcPr>
            <w:tcW w:w="1226" w:type="pct"/>
            <w:vAlign w:val="center"/>
          </w:tcPr>
          <w:p w14:paraId="21C9B245">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联系电话</w:t>
            </w:r>
          </w:p>
        </w:tc>
      </w:tr>
      <w:tr w14:paraId="03E5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 w:type="pct"/>
            <w:vAlign w:val="center"/>
          </w:tcPr>
          <w:p w14:paraId="3BE30D02">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1</w:t>
            </w:r>
          </w:p>
        </w:tc>
        <w:tc>
          <w:tcPr>
            <w:tcW w:w="2035" w:type="pct"/>
            <w:vAlign w:val="center"/>
          </w:tcPr>
          <w:p w14:paraId="1076CFAF">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c>
          <w:tcPr>
            <w:tcW w:w="1226" w:type="pct"/>
            <w:vAlign w:val="center"/>
          </w:tcPr>
          <w:p w14:paraId="390A2AC4">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c>
          <w:tcPr>
            <w:tcW w:w="1226" w:type="pct"/>
            <w:vAlign w:val="center"/>
          </w:tcPr>
          <w:p w14:paraId="264BAB61">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r>
      <w:tr w14:paraId="36D2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 w:type="pct"/>
            <w:vAlign w:val="center"/>
          </w:tcPr>
          <w:p w14:paraId="3AC1D0DA">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2</w:t>
            </w:r>
          </w:p>
        </w:tc>
        <w:tc>
          <w:tcPr>
            <w:tcW w:w="2035" w:type="pct"/>
            <w:vAlign w:val="center"/>
          </w:tcPr>
          <w:p w14:paraId="38760214">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c>
          <w:tcPr>
            <w:tcW w:w="1226" w:type="pct"/>
            <w:vAlign w:val="center"/>
          </w:tcPr>
          <w:p w14:paraId="223A8CAA">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c>
          <w:tcPr>
            <w:tcW w:w="1226" w:type="pct"/>
            <w:vAlign w:val="center"/>
          </w:tcPr>
          <w:p w14:paraId="7944559A">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p>
        </w:tc>
      </w:tr>
      <w:tr w14:paraId="3F4D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 w:type="pct"/>
            <w:vAlign w:val="center"/>
          </w:tcPr>
          <w:p w14:paraId="2BDD41B1">
            <w:pPr>
              <w:widowControl/>
              <w:shd w:val="clear" w:color="auto" w:fill="FFFFFF"/>
              <w:spacing w:line="300" w:lineRule="exact"/>
              <w:jc w:val="center"/>
              <w:rPr>
                <w:rFonts w:hint="eastAsia" w:ascii="仿宋" w:hAnsi="仿宋" w:eastAsia="仿宋" w:cs="仿宋"/>
                <w:spacing w:val="20"/>
                <w:kern w:val="0"/>
                <w:szCs w:val="21"/>
              </w:rPr>
            </w:pPr>
            <w:r>
              <w:rPr>
                <w:rFonts w:hint="eastAsia" w:ascii="仿宋" w:hAnsi="仿宋" w:eastAsia="仿宋" w:cs="仿宋"/>
                <w:spacing w:val="20"/>
                <w:kern w:val="0"/>
                <w:szCs w:val="21"/>
              </w:rPr>
              <w:t>3</w:t>
            </w:r>
          </w:p>
        </w:tc>
        <w:tc>
          <w:tcPr>
            <w:tcW w:w="2035" w:type="pct"/>
            <w:vAlign w:val="center"/>
          </w:tcPr>
          <w:p w14:paraId="622DEB01">
            <w:pPr>
              <w:widowControl/>
              <w:shd w:val="clear" w:color="auto" w:fill="FFFFFF"/>
              <w:spacing w:line="300" w:lineRule="exact"/>
              <w:ind w:firstLine="500" w:firstLineChars="200"/>
              <w:jc w:val="left"/>
              <w:rPr>
                <w:rFonts w:hint="eastAsia" w:ascii="仿宋" w:hAnsi="仿宋" w:eastAsia="仿宋" w:cs="仿宋"/>
                <w:spacing w:val="20"/>
                <w:kern w:val="0"/>
                <w:szCs w:val="21"/>
              </w:rPr>
            </w:pPr>
          </w:p>
        </w:tc>
        <w:tc>
          <w:tcPr>
            <w:tcW w:w="1226" w:type="pct"/>
            <w:vAlign w:val="center"/>
          </w:tcPr>
          <w:p w14:paraId="169D7F0D">
            <w:pPr>
              <w:widowControl/>
              <w:shd w:val="clear" w:color="auto" w:fill="FFFFFF"/>
              <w:spacing w:line="300" w:lineRule="exact"/>
              <w:ind w:firstLine="500" w:firstLineChars="200"/>
              <w:jc w:val="left"/>
              <w:rPr>
                <w:rFonts w:hint="eastAsia" w:ascii="仿宋" w:hAnsi="仿宋" w:eastAsia="仿宋" w:cs="仿宋"/>
                <w:spacing w:val="20"/>
                <w:kern w:val="0"/>
                <w:szCs w:val="21"/>
              </w:rPr>
            </w:pPr>
          </w:p>
        </w:tc>
        <w:tc>
          <w:tcPr>
            <w:tcW w:w="1226" w:type="pct"/>
            <w:vAlign w:val="center"/>
          </w:tcPr>
          <w:p w14:paraId="46D521D3">
            <w:pPr>
              <w:widowControl/>
              <w:shd w:val="clear" w:color="auto" w:fill="FFFFFF"/>
              <w:spacing w:line="300" w:lineRule="exact"/>
              <w:ind w:firstLine="500" w:firstLineChars="200"/>
              <w:jc w:val="left"/>
              <w:rPr>
                <w:rFonts w:hint="eastAsia" w:ascii="仿宋" w:hAnsi="仿宋" w:eastAsia="仿宋" w:cs="仿宋"/>
                <w:spacing w:val="20"/>
                <w:kern w:val="0"/>
                <w:szCs w:val="21"/>
              </w:rPr>
            </w:pPr>
          </w:p>
        </w:tc>
      </w:tr>
    </w:tbl>
    <w:p w14:paraId="1A3883B8">
      <w:pPr>
        <w:spacing w:line="300" w:lineRule="exact"/>
        <w:ind w:firstLine="500" w:firstLineChars="200"/>
        <w:jc w:val="left"/>
        <w:rPr>
          <w:rFonts w:hint="eastAsia" w:ascii="仿宋" w:hAnsi="仿宋" w:eastAsia="仿宋" w:cs="宋体"/>
          <w:spacing w:val="20"/>
          <w:szCs w:val="21"/>
        </w:rPr>
      </w:pPr>
    </w:p>
    <w:p w14:paraId="46AAC405">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（三）需求调查结果</w:t>
      </w:r>
    </w:p>
    <w:p w14:paraId="408B8112">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r>
        <w:rPr>
          <w:rFonts w:ascii="仿宋" w:hAnsi="仿宋" w:eastAsia="仿宋" w:cs="仿宋_GB2312"/>
          <w:spacing w:val="20"/>
          <w:kern w:val="0"/>
          <w:szCs w:val="21"/>
        </w:rPr>
        <w:t>1.</w:t>
      </w:r>
      <w:r>
        <w:rPr>
          <w:rFonts w:hint="eastAsia" w:ascii="仿宋" w:hAnsi="仿宋" w:eastAsia="仿宋" w:cs="仿宋_GB2312"/>
          <w:spacing w:val="20"/>
          <w:kern w:val="0"/>
          <w:szCs w:val="21"/>
        </w:rPr>
        <w:t>相关产业发展情况：</w:t>
      </w:r>
      <w:r>
        <w:rPr>
          <w:rFonts w:ascii="仿宋" w:hAnsi="仿宋" w:eastAsia="仿宋" w:cs="仿宋_GB2312"/>
          <w:spacing w:val="20"/>
          <w:kern w:val="0"/>
          <w:szCs w:val="21"/>
          <w:u w:val="single"/>
        </w:rPr>
        <w:t xml:space="preserve">                        </w:t>
      </w:r>
      <w:r>
        <w:rPr>
          <w:rFonts w:ascii="仿宋" w:hAnsi="仿宋" w:eastAsia="仿宋" w:cs="仿宋_GB2312"/>
          <w:spacing w:val="20"/>
          <w:kern w:val="0"/>
          <w:szCs w:val="21"/>
        </w:rPr>
        <w:t xml:space="preserve">                                                        </w:t>
      </w:r>
    </w:p>
    <w:p w14:paraId="2A65535E">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r>
        <w:rPr>
          <w:rFonts w:ascii="仿宋" w:hAnsi="仿宋" w:eastAsia="仿宋" w:cs="仿宋_GB2312"/>
          <w:spacing w:val="20"/>
          <w:kern w:val="0"/>
          <w:szCs w:val="21"/>
        </w:rPr>
        <w:t>2.</w:t>
      </w:r>
      <w:r>
        <w:rPr>
          <w:rFonts w:hint="eastAsia" w:ascii="仿宋" w:hAnsi="仿宋" w:eastAsia="仿宋" w:cs="仿宋_GB2312"/>
          <w:spacing w:val="20"/>
          <w:kern w:val="0"/>
          <w:szCs w:val="21"/>
        </w:rPr>
        <w:t>市场供给情况：</w:t>
      </w:r>
      <w:r>
        <w:rPr>
          <w:rFonts w:hint="eastAsia" w:ascii="仿宋" w:hAnsi="仿宋" w:eastAsia="仿宋" w:cs="仿宋_GB2312"/>
          <w:spacing w:val="20"/>
          <w:kern w:val="0"/>
          <w:szCs w:val="21"/>
          <w:u w:val="single"/>
        </w:rPr>
        <w:t xml:space="preserve">   </w:t>
      </w:r>
      <w:r>
        <w:rPr>
          <w:rFonts w:ascii="仿宋" w:hAnsi="仿宋" w:eastAsia="仿宋" w:cs="仿宋_GB2312"/>
          <w:spacing w:val="20"/>
          <w:kern w:val="0"/>
          <w:szCs w:val="21"/>
          <w:u w:val="single"/>
        </w:rPr>
        <w:t xml:space="preserve"> </w:t>
      </w:r>
      <w:r>
        <w:rPr>
          <w:rFonts w:hint="eastAsia" w:ascii="仿宋" w:hAnsi="仿宋" w:eastAsia="仿宋" w:cs="仿宋_GB2312"/>
          <w:spacing w:val="20"/>
          <w:kern w:val="0"/>
          <w:szCs w:val="21"/>
          <w:u w:val="single"/>
        </w:rPr>
        <w:t xml:space="preserve">  </w:t>
      </w:r>
      <w:r>
        <w:rPr>
          <w:rFonts w:ascii="仿宋" w:hAnsi="仿宋" w:eastAsia="仿宋" w:cs="仿宋_GB2312"/>
          <w:spacing w:val="20"/>
          <w:kern w:val="0"/>
          <w:szCs w:val="21"/>
          <w:u w:val="single"/>
        </w:rPr>
        <w:t xml:space="preserve">          </w:t>
      </w:r>
      <w:r>
        <w:rPr>
          <w:rFonts w:hint="eastAsia" w:ascii="仿宋" w:hAnsi="仿宋" w:eastAsia="仿宋" w:cs="仿宋_GB2312"/>
          <w:spacing w:val="20"/>
          <w:kern w:val="0"/>
          <w:szCs w:val="21"/>
          <w:u w:val="single"/>
        </w:rPr>
        <w:t xml:space="preserve"> </w:t>
      </w:r>
      <w:r>
        <w:rPr>
          <w:rFonts w:ascii="仿宋" w:hAnsi="仿宋" w:eastAsia="仿宋" w:cs="仿宋_GB2312"/>
          <w:spacing w:val="20"/>
          <w:kern w:val="0"/>
          <w:szCs w:val="21"/>
          <w:u w:val="single"/>
        </w:rPr>
        <w:t xml:space="preserve">   </w:t>
      </w:r>
      <w:r>
        <w:rPr>
          <w:rFonts w:hint="eastAsia" w:ascii="仿宋" w:hAnsi="仿宋" w:eastAsia="仿宋" w:cs="仿宋_GB2312"/>
          <w:spacing w:val="20"/>
          <w:kern w:val="0"/>
          <w:szCs w:val="21"/>
          <w:u w:val="single"/>
        </w:rPr>
        <w:t xml:space="preserve"> </w:t>
      </w:r>
      <w:r>
        <w:rPr>
          <w:rFonts w:ascii="仿宋" w:hAnsi="仿宋" w:eastAsia="仿宋" w:cs="仿宋_GB2312"/>
          <w:spacing w:val="20"/>
          <w:kern w:val="0"/>
          <w:szCs w:val="21"/>
          <w:u w:val="single"/>
        </w:rPr>
        <w:t xml:space="preserve">      </w:t>
      </w:r>
      <w:r>
        <w:rPr>
          <w:rFonts w:ascii="仿宋" w:hAnsi="仿宋" w:eastAsia="仿宋" w:cs="仿宋_GB2312"/>
          <w:spacing w:val="20"/>
          <w:kern w:val="0"/>
          <w:szCs w:val="21"/>
        </w:rPr>
        <w:t xml:space="preserve">                                                          </w:t>
      </w:r>
    </w:p>
    <w:p w14:paraId="0C3C066F">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r>
        <w:rPr>
          <w:rFonts w:ascii="仿宋" w:hAnsi="仿宋" w:eastAsia="仿宋" w:cs="仿宋_GB2312"/>
          <w:spacing w:val="20"/>
          <w:kern w:val="0"/>
          <w:szCs w:val="21"/>
        </w:rPr>
        <w:t>3.</w:t>
      </w:r>
      <w:r>
        <w:rPr>
          <w:rFonts w:hint="eastAsia" w:ascii="仿宋" w:hAnsi="仿宋" w:eastAsia="仿宋" w:cs="仿宋_GB2312"/>
          <w:spacing w:val="20"/>
          <w:kern w:val="0"/>
          <w:szCs w:val="21"/>
        </w:rPr>
        <w:t>同类采购项目历史成交信息情况：</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063"/>
        <w:gridCol w:w="1742"/>
        <w:gridCol w:w="2452"/>
        <w:gridCol w:w="1987"/>
        <w:gridCol w:w="843"/>
      </w:tblGrid>
      <w:tr w14:paraId="4DFF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5" w:type="pct"/>
            <w:vAlign w:val="center"/>
          </w:tcPr>
          <w:p w14:paraId="75CF7629">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序号</w:t>
            </w:r>
          </w:p>
        </w:tc>
        <w:tc>
          <w:tcPr>
            <w:tcW w:w="587" w:type="pct"/>
            <w:vAlign w:val="center"/>
          </w:tcPr>
          <w:p w14:paraId="32F4F8AF">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年份</w:t>
            </w:r>
          </w:p>
        </w:tc>
        <w:tc>
          <w:tcPr>
            <w:tcW w:w="962" w:type="pct"/>
            <w:vAlign w:val="center"/>
          </w:tcPr>
          <w:p w14:paraId="7AF519BA">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采购单位</w:t>
            </w:r>
          </w:p>
        </w:tc>
        <w:tc>
          <w:tcPr>
            <w:tcW w:w="1354" w:type="pct"/>
            <w:vAlign w:val="center"/>
          </w:tcPr>
          <w:p w14:paraId="27E8F1B4">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项目（设备）名称</w:t>
            </w:r>
          </w:p>
        </w:tc>
        <w:tc>
          <w:tcPr>
            <w:tcW w:w="1097" w:type="pct"/>
            <w:vAlign w:val="center"/>
          </w:tcPr>
          <w:p w14:paraId="2E8D470E">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成交价格（元）</w:t>
            </w:r>
          </w:p>
        </w:tc>
        <w:tc>
          <w:tcPr>
            <w:tcW w:w="466" w:type="pct"/>
            <w:vAlign w:val="center"/>
          </w:tcPr>
          <w:p w14:paraId="74AE9244">
            <w:pPr>
              <w:widowControl/>
              <w:shd w:val="clear" w:color="auto" w:fill="FFFFFF"/>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备注</w:t>
            </w:r>
          </w:p>
        </w:tc>
      </w:tr>
      <w:tr w14:paraId="5772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5" w:type="pct"/>
          </w:tcPr>
          <w:p w14:paraId="797AAEEF">
            <w:pPr>
              <w:widowControl/>
              <w:shd w:val="clear" w:color="auto" w:fill="FFFFFF"/>
              <w:spacing w:line="300" w:lineRule="exact"/>
              <w:jc w:val="center"/>
              <w:rPr>
                <w:rFonts w:hint="eastAsia" w:ascii="仿宋" w:hAnsi="仿宋" w:eastAsia="仿宋" w:cs="仿宋_GB2312"/>
                <w:spacing w:val="20"/>
                <w:kern w:val="0"/>
                <w:szCs w:val="21"/>
              </w:rPr>
            </w:pPr>
            <w:r>
              <w:rPr>
                <w:rFonts w:ascii="仿宋" w:hAnsi="仿宋" w:eastAsia="仿宋" w:cs="仿宋_GB2312"/>
                <w:spacing w:val="20"/>
                <w:kern w:val="0"/>
                <w:szCs w:val="21"/>
              </w:rPr>
              <w:t>1</w:t>
            </w:r>
          </w:p>
        </w:tc>
        <w:tc>
          <w:tcPr>
            <w:tcW w:w="587" w:type="pct"/>
          </w:tcPr>
          <w:p w14:paraId="7295F0B2">
            <w:pPr>
              <w:widowControl/>
              <w:shd w:val="clear" w:color="auto" w:fill="FFFFFF"/>
              <w:spacing w:line="300" w:lineRule="exact"/>
              <w:jc w:val="left"/>
              <w:rPr>
                <w:rFonts w:hint="eastAsia" w:ascii="仿宋" w:hAnsi="仿宋" w:eastAsia="仿宋" w:cs="仿宋_GB2312"/>
                <w:spacing w:val="20"/>
                <w:kern w:val="0"/>
                <w:szCs w:val="21"/>
              </w:rPr>
            </w:pPr>
          </w:p>
        </w:tc>
        <w:tc>
          <w:tcPr>
            <w:tcW w:w="962" w:type="pct"/>
          </w:tcPr>
          <w:p w14:paraId="7D3FCFD3">
            <w:pPr>
              <w:widowControl/>
              <w:shd w:val="clear" w:color="auto" w:fill="FFFFFF"/>
              <w:spacing w:line="300" w:lineRule="exact"/>
              <w:jc w:val="left"/>
              <w:rPr>
                <w:rFonts w:hint="eastAsia" w:ascii="仿宋" w:hAnsi="仿宋" w:eastAsia="仿宋" w:cs="仿宋_GB2312"/>
                <w:spacing w:val="20"/>
                <w:kern w:val="0"/>
                <w:szCs w:val="21"/>
              </w:rPr>
            </w:pPr>
          </w:p>
        </w:tc>
        <w:tc>
          <w:tcPr>
            <w:tcW w:w="1354" w:type="pct"/>
          </w:tcPr>
          <w:p w14:paraId="1414D8E7">
            <w:pPr>
              <w:widowControl/>
              <w:shd w:val="clear" w:color="auto" w:fill="FFFFFF"/>
              <w:spacing w:line="300" w:lineRule="exact"/>
              <w:jc w:val="left"/>
              <w:rPr>
                <w:rFonts w:hint="eastAsia" w:ascii="仿宋" w:hAnsi="仿宋" w:eastAsia="仿宋" w:cs="仿宋_GB2312"/>
                <w:spacing w:val="20"/>
                <w:kern w:val="0"/>
                <w:szCs w:val="21"/>
              </w:rPr>
            </w:pPr>
          </w:p>
        </w:tc>
        <w:tc>
          <w:tcPr>
            <w:tcW w:w="1097" w:type="pct"/>
          </w:tcPr>
          <w:p w14:paraId="7ED1C425">
            <w:pPr>
              <w:widowControl/>
              <w:shd w:val="clear" w:color="auto" w:fill="FFFFFF"/>
              <w:spacing w:line="300" w:lineRule="exact"/>
              <w:jc w:val="left"/>
              <w:rPr>
                <w:rFonts w:hint="eastAsia" w:ascii="仿宋" w:hAnsi="仿宋" w:eastAsia="仿宋" w:cs="仿宋_GB2312"/>
                <w:spacing w:val="20"/>
                <w:kern w:val="0"/>
                <w:szCs w:val="21"/>
              </w:rPr>
            </w:pPr>
            <w:r>
              <w:rPr>
                <w:rFonts w:ascii="Calibri" w:hAnsi="Calibri" w:eastAsia="仿宋" w:cs="Calibri"/>
                <w:spacing w:val="20"/>
                <w:kern w:val="0"/>
                <w:szCs w:val="21"/>
              </w:rPr>
              <w:t> </w:t>
            </w:r>
          </w:p>
        </w:tc>
        <w:tc>
          <w:tcPr>
            <w:tcW w:w="466" w:type="pct"/>
          </w:tcPr>
          <w:p w14:paraId="4096BC46">
            <w:pPr>
              <w:widowControl/>
              <w:shd w:val="clear" w:color="auto" w:fill="FFFFFF"/>
              <w:spacing w:line="300" w:lineRule="exact"/>
              <w:jc w:val="left"/>
              <w:rPr>
                <w:rFonts w:hint="eastAsia" w:ascii="仿宋" w:hAnsi="仿宋" w:eastAsia="仿宋" w:cs="Calibri"/>
                <w:spacing w:val="20"/>
                <w:kern w:val="0"/>
                <w:szCs w:val="21"/>
              </w:rPr>
            </w:pPr>
          </w:p>
        </w:tc>
      </w:tr>
      <w:tr w14:paraId="2604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5" w:type="pct"/>
          </w:tcPr>
          <w:p w14:paraId="5E5549D4">
            <w:pPr>
              <w:widowControl/>
              <w:shd w:val="clear" w:color="auto" w:fill="FFFFFF"/>
              <w:spacing w:line="300" w:lineRule="exact"/>
              <w:jc w:val="center"/>
              <w:rPr>
                <w:rFonts w:hint="eastAsia" w:ascii="仿宋" w:hAnsi="仿宋" w:eastAsia="仿宋" w:cs="仿宋_GB2312"/>
                <w:spacing w:val="20"/>
                <w:kern w:val="0"/>
                <w:szCs w:val="21"/>
              </w:rPr>
            </w:pPr>
            <w:r>
              <w:rPr>
                <w:rFonts w:ascii="仿宋" w:hAnsi="仿宋" w:eastAsia="仿宋" w:cs="仿宋_GB2312"/>
                <w:spacing w:val="20"/>
                <w:kern w:val="0"/>
                <w:szCs w:val="21"/>
              </w:rPr>
              <w:t>2</w:t>
            </w:r>
          </w:p>
        </w:tc>
        <w:tc>
          <w:tcPr>
            <w:tcW w:w="587" w:type="pct"/>
          </w:tcPr>
          <w:p w14:paraId="08FE2462">
            <w:pPr>
              <w:widowControl/>
              <w:shd w:val="clear" w:color="auto" w:fill="FFFFFF"/>
              <w:spacing w:line="300" w:lineRule="exact"/>
              <w:jc w:val="left"/>
              <w:rPr>
                <w:rFonts w:hint="eastAsia" w:ascii="仿宋" w:hAnsi="仿宋" w:eastAsia="仿宋" w:cs="仿宋_GB2312"/>
                <w:spacing w:val="20"/>
                <w:kern w:val="0"/>
                <w:szCs w:val="21"/>
              </w:rPr>
            </w:pPr>
          </w:p>
        </w:tc>
        <w:tc>
          <w:tcPr>
            <w:tcW w:w="962" w:type="pct"/>
          </w:tcPr>
          <w:p w14:paraId="18C67954">
            <w:pPr>
              <w:widowControl/>
              <w:shd w:val="clear" w:color="auto" w:fill="FFFFFF"/>
              <w:spacing w:line="300" w:lineRule="exact"/>
              <w:jc w:val="left"/>
              <w:rPr>
                <w:rFonts w:hint="eastAsia" w:ascii="仿宋" w:hAnsi="仿宋" w:eastAsia="仿宋" w:cs="仿宋_GB2312"/>
                <w:spacing w:val="20"/>
                <w:kern w:val="0"/>
                <w:szCs w:val="21"/>
              </w:rPr>
            </w:pPr>
          </w:p>
        </w:tc>
        <w:tc>
          <w:tcPr>
            <w:tcW w:w="1354" w:type="pct"/>
          </w:tcPr>
          <w:p w14:paraId="11294810">
            <w:pPr>
              <w:widowControl/>
              <w:shd w:val="clear" w:color="auto" w:fill="FFFFFF"/>
              <w:spacing w:line="300" w:lineRule="exact"/>
              <w:jc w:val="left"/>
              <w:rPr>
                <w:rFonts w:hint="eastAsia" w:ascii="仿宋" w:hAnsi="仿宋" w:eastAsia="仿宋" w:cs="仿宋_GB2312"/>
                <w:spacing w:val="20"/>
                <w:kern w:val="0"/>
                <w:szCs w:val="21"/>
              </w:rPr>
            </w:pPr>
          </w:p>
        </w:tc>
        <w:tc>
          <w:tcPr>
            <w:tcW w:w="1097" w:type="pct"/>
          </w:tcPr>
          <w:p w14:paraId="77BE384B">
            <w:pPr>
              <w:widowControl/>
              <w:shd w:val="clear" w:color="auto" w:fill="FFFFFF"/>
              <w:spacing w:line="300" w:lineRule="exact"/>
              <w:jc w:val="left"/>
              <w:rPr>
                <w:rFonts w:hint="eastAsia" w:ascii="仿宋" w:hAnsi="仿宋" w:eastAsia="仿宋" w:cs="仿宋_GB2312"/>
                <w:spacing w:val="20"/>
                <w:kern w:val="0"/>
                <w:szCs w:val="21"/>
              </w:rPr>
            </w:pPr>
            <w:r>
              <w:rPr>
                <w:rFonts w:ascii="Calibri" w:hAnsi="Calibri" w:eastAsia="仿宋" w:cs="Calibri"/>
                <w:spacing w:val="20"/>
                <w:kern w:val="0"/>
                <w:szCs w:val="21"/>
              </w:rPr>
              <w:t> </w:t>
            </w:r>
          </w:p>
        </w:tc>
        <w:tc>
          <w:tcPr>
            <w:tcW w:w="466" w:type="pct"/>
          </w:tcPr>
          <w:p w14:paraId="7E52286D">
            <w:pPr>
              <w:widowControl/>
              <w:shd w:val="clear" w:color="auto" w:fill="FFFFFF"/>
              <w:spacing w:line="300" w:lineRule="exact"/>
              <w:jc w:val="left"/>
              <w:rPr>
                <w:rFonts w:hint="eastAsia" w:ascii="仿宋" w:hAnsi="仿宋" w:eastAsia="仿宋" w:cs="Calibri"/>
                <w:spacing w:val="20"/>
                <w:kern w:val="0"/>
                <w:szCs w:val="21"/>
              </w:rPr>
            </w:pPr>
          </w:p>
        </w:tc>
      </w:tr>
      <w:tr w14:paraId="3C19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5" w:type="pct"/>
          </w:tcPr>
          <w:p w14:paraId="479DCF3F">
            <w:pPr>
              <w:widowControl/>
              <w:shd w:val="clear" w:color="auto" w:fill="FFFFFF"/>
              <w:spacing w:line="300" w:lineRule="exact"/>
              <w:jc w:val="center"/>
              <w:rPr>
                <w:rFonts w:hint="eastAsia" w:ascii="仿宋" w:hAnsi="仿宋" w:eastAsia="仿宋" w:cs="仿宋_GB2312"/>
                <w:spacing w:val="20"/>
                <w:kern w:val="0"/>
                <w:szCs w:val="21"/>
              </w:rPr>
            </w:pPr>
            <w:r>
              <w:rPr>
                <w:rFonts w:ascii="仿宋" w:hAnsi="仿宋" w:eastAsia="仿宋" w:cs="仿宋_GB2312"/>
                <w:spacing w:val="20"/>
                <w:kern w:val="0"/>
                <w:szCs w:val="21"/>
              </w:rPr>
              <w:t>3</w:t>
            </w:r>
          </w:p>
        </w:tc>
        <w:tc>
          <w:tcPr>
            <w:tcW w:w="587" w:type="pct"/>
          </w:tcPr>
          <w:p w14:paraId="0C247975">
            <w:pPr>
              <w:widowControl/>
              <w:shd w:val="clear" w:color="auto" w:fill="FFFFFF"/>
              <w:spacing w:line="300" w:lineRule="exact"/>
              <w:jc w:val="left"/>
              <w:rPr>
                <w:rFonts w:hint="eastAsia" w:ascii="仿宋" w:hAnsi="仿宋" w:eastAsia="仿宋" w:cs="仿宋_GB2312"/>
                <w:spacing w:val="20"/>
                <w:kern w:val="0"/>
                <w:szCs w:val="21"/>
              </w:rPr>
            </w:pPr>
          </w:p>
        </w:tc>
        <w:tc>
          <w:tcPr>
            <w:tcW w:w="962" w:type="pct"/>
          </w:tcPr>
          <w:p w14:paraId="6E54419C">
            <w:pPr>
              <w:widowControl/>
              <w:shd w:val="clear" w:color="auto" w:fill="FFFFFF"/>
              <w:spacing w:line="300" w:lineRule="exact"/>
              <w:jc w:val="left"/>
              <w:rPr>
                <w:rFonts w:hint="eastAsia" w:ascii="仿宋" w:hAnsi="仿宋" w:eastAsia="仿宋" w:cs="仿宋_GB2312"/>
                <w:spacing w:val="20"/>
                <w:kern w:val="0"/>
                <w:szCs w:val="21"/>
              </w:rPr>
            </w:pPr>
          </w:p>
        </w:tc>
        <w:tc>
          <w:tcPr>
            <w:tcW w:w="1354" w:type="pct"/>
          </w:tcPr>
          <w:p w14:paraId="31660225">
            <w:pPr>
              <w:widowControl/>
              <w:shd w:val="clear" w:color="auto" w:fill="FFFFFF"/>
              <w:spacing w:line="300" w:lineRule="exact"/>
              <w:jc w:val="left"/>
              <w:rPr>
                <w:rFonts w:hint="eastAsia" w:ascii="仿宋" w:hAnsi="仿宋" w:eastAsia="仿宋" w:cs="仿宋_GB2312"/>
                <w:spacing w:val="20"/>
                <w:kern w:val="0"/>
                <w:szCs w:val="21"/>
              </w:rPr>
            </w:pPr>
          </w:p>
        </w:tc>
        <w:tc>
          <w:tcPr>
            <w:tcW w:w="1097" w:type="pct"/>
          </w:tcPr>
          <w:p w14:paraId="316D24AD">
            <w:pPr>
              <w:widowControl/>
              <w:shd w:val="clear" w:color="auto" w:fill="FFFFFF"/>
              <w:spacing w:line="300" w:lineRule="exact"/>
              <w:jc w:val="left"/>
              <w:rPr>
                <w:rFonts w:hint="eastAsia" w:ascii="仿宋" w:hAnsi="仿宋" w:eastAsia="仿宋" w:cs="仿宋_GB2312"/>
                <w:spacing w:val="20"/>
                <w:kern w:val="0"/>
                <w:szCs w:val="21"/>
              </w:rPr>
            </w:pPr>
            <w:r>
              <w:rPr>
                <w:rFonts w:ascii="Calibri" w:hAnsi="Calibri" w:eastAsia="仿宋" w:cs="Calibri"/>
                <w:spacing w:val="20"/>
                <w:kern w:val="0"/>
                <w:szCs w:val="21"/>
              </w:rPr>
              <w:t> </w:t>
            </w:r>
          </w:p>
        </w:tc>
        <w:tc>
          <w:tcPr>
            <w:tcW w:w="466" w:type="pct"/>
          </w:tcPr>
          <w:p w14:paraId="2A17FDEE">
            <w:pPr>
              <w:widowControl/>
              <w:shd w:val="clear" w:color="auto" w:fill="FFFFFF"/>
              <w:spacing w:line="300" w:lineRule="exact"/>
              <w:jc w:val="left"/>
              <w:rPr>
                <w:rFonts w:hint="eastAsia" w:ascii="仿宋" w:hAnsi="仿宋" w:eastAsia="仿宋" w:cs="Calibri"/>
                <w:spacing w:val="20"/>
                <w:kern w:val="0"/>
                <w:szCs w:val="21"/>
              </w:rPr>
            </w:pPr>
          </w:p>
        </w:tc>
      </w:tr>
    </w:tbl>
    <w:p w14:paraId="0C3D630D">
      <w:pPr>
        <w:widowControl/>
        <w:shd w:val="clear" w:color="auto" w:fill="FFFFFF"/>
        <w:spacing w:line="300" w:lineRule="exact"/>
        <w:ind w:firstLine="500" w:firstLineChars="200"/>
        <w:jc w:val="left"/>
        <w:rPr>
          <w:rFonts w:hint="eastAsia" w:ascii="仿宋" w:hAnsi="仿宋" w:eastAsia="仿宋" w:cs="仿宋_GB2312"/>
          <w:spacing w:val="20"/>
          <w:kern w:val="0"/>
          <w:szCs w:val="21"/>
        </w:rPr>
      </w:pPr>
      <w:r>
        <w:rPr>
          <w:rFonts w:ascii="仿宋" w:hAnsi="仿宋" w:eastAsia="仿宋" w:cs="仿宋_GB2312"/>
          <w:spacing w:val="20"/>
          <w:kern w:val="0"/>
          <w:szCs w:val="21"/>
        </w:rPr>
        <w:t>4.</w:t>
      </w:r>
      <w:r>
        <w:rPr>
          <w:rFonts w:hint="eastAsia" w:ascii="仿宋" w:hAnsi="仿宋" w:eastAsia="仿宋" w:cs="仿宋_GB2312"/>
          <w:spacing w:val="20"/>
          <w:kern w:val="0"/>
          <w:szCs w:val="21"/>
        </w:rPr>
        <w:t>可能涉及的运行维护、升级更新、备品备件、耗材等后续采购情况：</w:t>
      </w:r>
      <w:r>
        <w:rPr>
          <w:rFonts w:ascii="仿宋" w:hAnsi="仿宋" w:eastAsia="仿宋" w:cs="仿宋_GB2312"/>
          <w:spacing w:val="20"/>
          <w:kern w:val="0"/>
          <w:szCs w:val="21"/>
          <w:u w:val="single"/>
        </w:rPr>
        <w:t xml:space="preserve">                                </w:t>
      </w:r>
      <w:r>
        <w:rPr>
          <w:rFonts w:ascii="仿宋" w:hAnsi="仿宋" w:eastAsia="仿宋" w:cs="仿宋_GB2312"/>
          <w:spacing w:val="20"/>
          <w:kern w:val="0"/>
          <w:szCs w:val="21"/>
        </w:rPr>
        <w:t xml:space="preserve">                                                         </w:t>
      </w:r>
    </w:p>
    <w:p w14:paraId="0E63B846">
      <w:pPr>
        <w:widowControl/>
        <w:shd w:val="clear" w:color="auto" w:fill="FFFFFF"/>
        <w:spacing w:line="300" w:lineRule="exact"/>
        <w:ind w:firstLine="500" w:firstLineChars="200"/>
        <w:jc w:val="left"/>
        <w:rPr>
          <w:rFonts w:hint="eastAsia" w:ascii="仿宋" w:hAnsi="仿宋" w:eastAsia="仿宋" w:cs="仿宋"/>
          <w:spacing w:val="20"/>
          <w:kern w:val="0"/>
          <w:szCs w:val="21"/>
          <w:u w:val="single"/>
        </w:rPr>
      </w:pPr>
      <w:r>
        <w:rPr>
          <w:rFonts w:ascii="仿宋" w:hAnsi="仿宋" w:eastAsia="仿宋" w:cs="仿宋_GB2312"/>
          <w:spacing w:val="20"/>
          <w:kern w:val="0"/>
          <w:szCs w:val="21"/>
        </w:rPr>
        <w:t>5.</w:t>
      </w:r>
      <w:r>
        <w:rPr>
          <w:rFonts w:hint="eastAsia" w:ascii="仿宋" w:hAnsi="仿宋" w:eastAsia="仿宋" w:cs="仿宋_GB2312"/>
          <w:spacing w:val="20"/>
          <w:kern w:val="0"/>
          <w:szCs w:val="21"/>
        </w:rPr>
        <w:t>其他相关情况：</w:t>
      </w:r>
      <w:r>
        <w:rPr>
          <w:rFonts w:ascii="仿宋" w:hAnsi="仿宋" w:eastAsia="仿宋" w:cs="仿宋"/>
          <w:spacing w:val="20"/>
          <w:kern w:val="0"/>
          <w:szCs w:val="21"/>
          <w:u w:val="single"/>
        </w:rPr>
        <w:t xml:space="preserve">                           </w:t>
      </w:r>
    </w:p>
    <w:p w14:paraId="2313DA0F">
      <w:pPr>
        <w:widowControl/>
        <w:shd w:val="clear" w:color="auto" w:fill="FFFFFF"/>
        <w:spacing w:line="300" w:lineRule="exact"/>
        <w:ind w:firstLine="500" w:firstLineChars="200"/>
        <w:jc w:val="left"/>
        <w:rPr>
          <w:rFonts w:hint="eastAsia" w:ascii="仿宋" w:hAnsi="仿宋" w:eastAsia="仿宋" w:cs="仿宋"/>
          <w:spacing w:val="20"/>
          <w:kern w:val="0"/>
          <w:szCs w:val="21"/>
          <w:u w:val="single"/>
        </w:rPr>
      </w:pPr>
    </w:p>
    <w:p w14:paraId="5CF398C6">
      <w:pPr>
        <w:pStyle w:val="2"/>
        <w:spacing w:line="300" w:lineRule="exact"/>
        <w:ind w:firstLine="500" w:firstLineChars="200"/>
        <w:jc w:val="left"/>
        <w:rPr>
          <w:rFonts w:hint="eastAsia" w:ascii="黑体" w:hAnsi="黑体" w:eastAsia="黑体"/>
          <w:b w:val="0"/>
          <w:bCs/>
          <w:spacing w:val="20"/>
          <w:sz w:val="21"/>
          <w:szCs w:val="21"/>
        </w:rPr>
      </w:pPr>
      <w:r>
        <w:rPr>
          <w:rFonts w:hint="eastAsia" w:ascii="黑体" w:hAnsi="黑体" w:eastAsia="黑体"/>
          <w:b w:val="0"/>
          <w:bCs/>
          <w:spacing w:val="20"/>
          <w:sz w:val="21"/>
          <w:szCs w:val="21"/>
        </w:rPr>
        <w:t>三、项目采购实施计划</w:t>
      </w:r>
    </w:p>
    <w:p w14:paraId="0838D227">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（一）采购方式</w:t>
      </w: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9"/>
        <w:gridCol w:w="7310"/>
      </w:tblGrid>
      <w:tr w14:paraId="4906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961" w:type="pct"/>
            <w:vAlign w:val="center"/>
          </w:tcPr>
          <w:p w14:paraId="06E2DD11">
            <w:pPr>
              <w:pStyle w:val="10"/>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采购方式</w:t>
            </w:r>
          </w:p>
        </w:tc>
        <w:tc>
          <w:tcPr>
            <w:tcW w:w="4039" w:type="pct"/>
            <w:vAlign w:val="center"/>
          </w:tcPr>
          <w:p w14:paraId="4EDDFEDA">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sym w:font="Wingdings 2" w:char="0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 xml:space="preserve">公开招标  </w:t>
            </w:r>
          </w:p>
          <w:p w14:paraId="558AD46A">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sym w:font="Wingdings 2" w:char="0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邀请招标</w:t>
            </w:r>
          </w:p>
          <w:p w14:paraId="0D1DE33E">
            <w:pPr>
              <w:widowControl/>
              <w:shd w:val="clear" w:color="auto" w:fill="FFFFFF"/>
              <w:spacing w:line="300" w:lineRule="exact"/>
              <w:jc w:val="left"/>
              <w:rPr>
                <w:rFonts w:hint="default" w:ascii="仿宋" w:hAnsi="仿宋" w:eastAsia="仿宋" w:cs="仿宋_GB2312"/>
                <w:spacing w:val="20"/>
                <w:kern w:val="0"/>
                <w:szCs w:val="21"/>
                <w:lang w:val="en-US" w:eastAsia="zh-CN"/>
              </w:rPr>
            </w:pPr>
            <w:r>
              <w:rPr>
                <w:rFonts w:hint="eastAsia" w:ascii="仿宋" w:hAnsi="仿宋" w:eastAsia="仿宋" w:cs="仿宋_GB2312"/>
                <w:spacing w:val="20"/>
                <w:kern w:val="0"/>
                <w:szCs w:val="21"/>
              </w:rPr>
              <w:sym w:font="Wingdings 2" w:char="0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lang w:val="en-US" w:eastAsia="zh-CN"/>
              </w:rPr>
              <w:t>竞争性磋商</w:t>
            </w:r>
            <w:bookmarkStart w:id="1" w:name="_GoBack"/>
            <w:bookmarkEnd w:id="1"/>
          </w:p>
          <w:p w14:paraId="334B71D0">
            <w:pPr>
              <w:widowControl/>
              <w:shd w:val="clear" w:color="auto" w:fill="FFFFFF"/>
              <w:spacing w:line="300" w:lineRule="exact"/>
              <w:jc w:val="left"/>
              <w:outlineLvl w:val="2"/>
              <w:rPr>
                <w:rFonts w:hint="eastAsia" w:ascii="仿宋" w:hAnsi="仿宋" w:eastAsia="仿宋" w:cs="仿宋_GB2312"/>
                <w:spacing w:val="20"/>
                <w:kern w:val="0"/>
                <w:szCs w:val="21"/>
                <w:highlight w:val="green"/>
              </w:rPr>
            </w:pPr>
            <w:r>
              <w:rPr>
                <w:rFonts w:hint="eastAsia" w:ascii="仿宋" w:hAnsi="仿宋" w:eastAsia="仿宋" w:cs="仿宋_GB2312"/>
                <w:spacing w:val="20"/>
                <w:kern w:val="0"/>
                <w:szCs w:val="21"/>
              </w:rPr>
              <w:sym w:font="Wingdings 2" w:char="0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竞争性谈判</w:t>
            </w:r>
          </w:p>
          <w:p w14:paraId="1BF887E7">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sym w:font="Wingdings 2" w:char="00A3"/>
            </w:r>
            <w:r>
              <w:rPr>
                <w:rFonts w:hint="eastAsia" w:ascii="仿宋" w:hAnsi="仿宋" w:eastAsia="仿宋" w:cs="仿宋_GB2312"/>
                <w:spacing w:val="20"/>
                <w:kern w:val="0"/>
                <w:szCs w:val="21"/>
              </w:rPr>
              <w:t xml:space="preserve"> 询价</w:t>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 xml:space="preserve"> </w:t>
            </w:r>
          </w:p>
          <w:p w14:paraId="79FF0F99">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sym w:font="Wingdings 2" w:char="00A3"/>
            </w:r>
            <w:r>
              <w:rPr>
                <w:rFonts w:hint="eastAsia" w:ascii="仿宋" w:hAnsi="仿宋" w:eastAsia="仿宋" w:cs="仿宋_GB2312"/>
                <w:spacing w:val="20"/>
                <w:kern w:val="0"/>
                <w:szCs w:val="21"/>
              </w:rPr>
              <w:t xml:space="preserve"> 单一来源采购</w:t>
            </w:r>
            <w:r>
              <w:rPr>
                <w:rFonts w:ascii="仿宋" w:hAnsi="仿宋" w:eastAsia="仿宋" w:cs="仿宋_GB2312"/>
                <w:spacing w:val="20"/>
                <w:kern w:val="0"/>
                <w:szCs w:val="21"/>
              </w:rPr>
              <w:t xml:space="preserve"> </w:t>
            </w:r>
          </w:p>
        </w:tc>
      </w:tr>
    </w:tbl>
    <w:p w14:paraId="73E0B31F">
      <w:pPr>
        <w:pStyle w:val="3"/>
        <w:spacing w:line="300" w:lineRule="exact"/>
        <w:ind w:firstLine="502" w:firstLineChars="200"/>
        <w:rPr>
          <w:rFonts w:hint="eastAsia" w:ascii="仿宋" w:hAnsi="仿宋" w:eastAsia="仿宋"/>
          <w:spacing w:val="20"/>
          <w:sz w:val="21"/>
          <w:szCs w:val="21"/>
        </w:rPr>
      </w:pPr>
    </w:p>
    <w:p w14:paraId="713C6B8C">
      <w:pPr>
        <w:pStyle w:val="3"/>
        <w:spacing w:line="300" w:lineRule="exact"/>
        <w:ind w:firstLine="500" w:firstLineChars="200"/>
        <w:rPr>
          <w:rFonts w:hint="eastAsia" w:ascii="楷体" w:hAnsi="楷体" w:eastAsia="楷体"/>
          <w:b w:val="0"/>
          <w:bCs w:val="0"/>
          <w:spacing w:val="20"/>
          <w:sz w:val="21"/>
          <w:szCs w:val="21"/>
        </w:rPr>
      </w:pPr>
      <w:r>
        <w:rPr>
          <w:rFonts w:hint="eastAsia" w:ascii="楷体" w:hAnsi="楷体" w:eastAsia="楷体"/>
          <w:b w:val="0"/>
          <w:bCs w:val="0"/>
          <w:spacing w:val="20"/>
          <w:sz w:val="21"/>
          <w:szCs w:val="21"/>
        </w:rPr>
        <w:t>（二）执行政府采购促进中小企业发展的相关政策</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9"/>
        <w:gridCol w:w="7319"/>
      </w:tblGrid>
      <w:tr w14:paraId="12DB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960" w:type="pct"/>
            <w:vAlign w:val="center"/>
          </w:tcPr>
          <w:p w14:paraId="18369343">
            <w:pPr>
              <w:pStyle w:val="10"/>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是否专门面向中小企业及原因</w:t>
            </w:r>
          </w:p>
        </w:tc>
        <w:tc>
          <w:tcPr>
            <w:tcW w:w="4040" w:type="pct"/>
            <w:vAlign w:val="center"/>
          </w:tcPr>
          <w:p w14:paraId="7182835F">
            <w:pPr>
              <w:pStyle w:val="4"/>
              <w:spacing w:line="300" w:lineRule="exact"/>
              <w:ind w:firstLine="0" w:firstLineChars="0"/>
              <w:rPr>
                <w:rFonts w:hint="eastAsia" w:ascii="仿宋" w:hAnsi="仿宋" w:eastAsia="仿宋" w:cs="Courier New"/>
                <w:b/>
                <w:bCs w:val="0"/>
                <w:color w:val="auto"/>
                <w:sz w:val="21"/>
                <w:szCs w:val="21"/>
              </w:rPr>
            </w:pPr>
            <w:r>
              <w:rPr>
                <w:rFonts w:hint="eastAsia" w:ascii="仿宋" w:hAnsi="仿宋" w:eastAsia="仿宋" w:cs="Courier New"/>
                <w:b/>
                <w:bCs w:val="0"/>
                <w:color w:val="auto"/>
                <w:sz w:val="21"/>
                <w:szCs w:val="21"/>
              </w:rPr>
              <w:sym w:font="Wingdings 2" w:char="F0A3"/>
            </w:r>
            <w:r>
              <w:rPr>
                <w:rFonts w:ascii="仿宋" w:hAnsi="仿宋" w:eastAsia="仿宋" w:cs="仿宋_GB2312"/>
                <w:b/>
                <w:bCs w:val="0"/>
                <w:color w:val="auto"/>
                <w:spacing w:val="20"/>
                <w:sz w:val="21"/>
                <w:szCs w:val="21"/>
              </w:rPr>
              <w:t xml:space="preserve"> </w:t>
            </w:r>
            <w:r>
              <w:rPr>
                <w:rFonts w:hint="eastAsia" w:ascii="仿宋" w:hAnsi="仿宋" w:eastAsia="仿宋" w:cs="仿宋_GB2312"/>
                <w:b/>
                <w:bCs w:val="0"/>
                <w:color w:val="auto"/>
                <w:spacing w:val="20"/>
                <w:sz w:val="21"/>
                <w:szCs w:val="21"/>
              </w:rPr>
              <w:t>专门面向中小企业</w:t>
            </w:r>
          </w:p>
          <w:p w14:paraId="4928EE1E">
            <w:pPr>
              <w:pStyle w:val="4"/>
              <w:spacing w:line="300" w:lineRule="exact"/>
              <w:ind w:firstLine="0" w:firstLineChars="0"/>
              <w:rPr>
                <w:rFonts w:hint="eastAsia" w:ascii="仿宋" w:hAnsi="仿宋" w:eastAsia="仿宋" w:cs="仿宋_GB2312"/>
                <w:b/>
                <w:bCs w:val="0"/>
                <w:color w:val="auto"/>
                <w:spacing w:val="20"/>
                <w:sz w:val="21"/>
                <w:szCs w:val="21"/>
              </w:rPr>
            </w:pPr>
            <w:r>
              <w:rPr>
                <w:rFonts w:hint="eastAsia" w:ascii="仿宋" w:hAnsi="仿宋" w:eastAsia="仿宋" w:cs="Courier New"/>
                <w:b/>
                <w:bCs w:val="0"/>
                <w:color w:val="auto"/>
                <w:sz w:val="21"/>
                <w:szCs w:val="21"/>
              </w:rPr>
              <w:sym w:font="Wingdings 2" w:char="F0A3"/>
            </w:r>
            <w:r>
              <w:rPr>
                <w:rFonts w:ascii="仿宋" w:hAnsi="仿宋" w:eastAsia="仿宋" w:cs="仿宋_GB2312"/>
                <w:b/>
                <w:bCs w:val="0"/>
                <w:color w:val="auto"/>
                <w:spacing w:val="20"/>
                <w:sz w:val="21"/>
                <w:szCs w:val="21"/>
              </w:rPr>
              <w:t xml:space="preserve"> </w:t>
            </w:r>
            <w:r>
              <w:rPr>
                <w:rFonts w:hint="eastAsia" w:ascii="仿宋" w:hAnsi="仿宋" w:eastAsia="仿宋" w:cs="仿宋_GB2312"/>
                <w:b/>
                <w:bCs w:val="0"/>
                <w:color w:val="auto"/>
                <w:spacing w:val="20"/>
                <w:sz w:val="21"/>
                <w:szCs w:val="21"/>
              </w:rPr>
              <w:t>不专门面向中小企业（勾选相应原因）</w:t>
            </w:r>
          </w:p>
          <w:p w14:paraId="3E030B28">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Courier New"/>
                <w:szCs w:val="21"/>
              </w:rPr>
              <w:sym w:font="Wingdings 2" w:char="0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法律法规和国家有关政策明确规定优先或者应当面向事业单位、社会组织等非企业主体采购的；</w:t>
            </w:r>
          </w:p>
          <w:p w14:paraId="4DA620D5">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Courier New"/>
                <w:szCs w:val="21"/>
              </w:rPr>
              <w:sym w:font="Wingdings 2" w:char="F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因确需使用不可替代的专利、专有技术，基础设施限制，或者提供特定公共服务等原因，只能从中小企业之外的供应商处采购的；</w:t>
            </w:r>
          </w:p>
          <w:p w14:paraId="0BF269D5">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Courier New"/>
                <w:szCs w:val="21"/>
              </w:rPr>
              <w:sym w:font="Wingdings 2" w:char="F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按照本办法规定预留采购份额无法确保充分供应、</w:t>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充分竞争，或者存在可能影响政府采购目标实现的情形；</w:t>
            </w:r>
          </w:p>
          <w:p w14:paraId="3600AAFB">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Courier New"/>
                <w:szCs w:val="21"/>
              </w:rPr>
              <w:sym w:font="Wingdings 2" w:char="F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框架协议采购项目；</w:t>
            </w:r>
          </w:p>
          <w:p w14:paraId="27968A09">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Courier New"/>
                <w:szCs w:val="21"/>
              </w:rPr>
              <w:sym w:font="Wingdings 2" w:char="F0A3"/>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省级以上人民政府财政部门规定的其他情形。除上述情形外，其他均为适宜由中小企业提供的情形。</w:t>
            </w:r>
          </w:p>
          <w:p w14:paraId="685AD2E7">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t>注：监狱企业和残疾人福利单位视同小微企业。</w:t>
            </w:r>
          </w:p>
        </w:tc>
      </w:tr>
    </w:tbl>
    <w:p w14:paraId="57763740">
      <w:pPr>
        <w:pStyle w:val="3"/>
        <w:spacing w:line="300" w:lineRule="exact"/>
        <w:ind w:firstLine="422" w:firstLineChars="200"/>
        <w:rPr>
          <w:rFonts w:hint="eastAsia" w:ascii="仿宋" w:hAnsi="仿宋" w:eastAsia="仿宋"/>
          <w:sz w:val="21"/>
          <w:szCs w:val="21"/>
        </w:rPr>
      </w:pPr>
    </w:p>
    <w:p w14:paraId="2CDE5A0D">
      <w:pPr>
        <w:pStyle w:val="3"/>
        <w:spacing w:line="300" w:lineRule="exact"/>
        <w:ind w:firstLine="420" w:firstLineChars="200"/>
        <w:rPr>
          <w:rFonts w:hint="eastAsia" w:ascii="楷体" w:hAnsi="楷体" w:eastAsia="楷体"/>
          <w:b w:val="0"/>
          <w:bCs w:val="0"/>
          <w:spacing w:val="20"/>
          <w:sz w:val="21"/>
          <w:szCs w:val="21"/>
        </w:rPr>
      </w:pPr>
      <w:r>
        <w:rPr>
          <w:rFonts w:hint="eastAsia" w:ascii="楷体" w:hAnsi="楷体" w:eastAsia="楷体"/>
          <w:b w:val="0"/>
          <w:bCs w:val="0"/>
          <w:sz w:val="21"/>
          <w:szCs w:val="21"/>
        </w:rPr>
        <w:t>★</w:t>
      </w:r>
      <w:r>
        <w:rPr>
          <w:rFonts w:hint="eastAsia" w:ascii="楷体" w:hAnsi="楷体" w:eastAsia="楷体"/>
          <w:b w:val="0"/>
          <w:bCs w:val="0"/>
          <w:spacing w:val="20"/>
          <w:sz w:val="21"/>
          <w:szCs w:val="21"/>
        </w:rPr>
        <w:t>（三）</w:t>
      </w:r>
      <w:r>
        <w:rPr>
          <w:rFonts w:hint="eastAsia" w:ascii="楷体" w:hAnsi="楷体" w:eastAsia="楷体" w:cs="仿宋_GB2312"/>
          <w:b w:val="0"/>
          <w:bCs w:val="0"/>
          <w:sz w:val="21"/>
          <w:szCs w:val="21"/>
        </w:rPr>
        <w:t>采购标的清单及技术要求</w:t>
      </w:r>
    </w:p>
    <w:p w14:paraId="29783B81">
      <w:pPr>
        <w:pStyle w:val="4"/>
        <w:spacing w:line="300" w:lineRule="exact"/>
        <w:ind w:firstLine="502"/>
        <w:rPr>
          <w:rFonts w:hint="eastAsia" w:ascii="仿宋" w:hAnsi="仿宋" w:eastAsia="仿宋" w:cs="仿宋_GB2312"/>
          <w:b/>
          <w:color w:val="auto"/>
          <w:spacing w:val="20"/>
          <w:sz w:val="21"/>
          <w:szCs w:val="21"/>
        </w:rPr>
      </w:pPr>
      <w:r>
        <w:rPr>
          <w:rFonts w:hint="eastAsia" w:ascii="仿宋" w:hAnsi="仿宋" w:eastAsia="仿宋" w:cs="仿宋_GB2312"/>
          <w:b/>
          <w:color w:val="auto"/>
          <w:spacing w:val="20"/>
          <w:sz w:val="21"/>
          <w:szCs w:val="21"/>
        </w:rPr>
        <w:t>1.采购标的清单</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022"/>
        <w:gridCol w:w="1185"/>
        <w:gridCol w:w="723"/>
        <w:gridCol w:w="593"/>
        <w:gridCol w:w="964"/>
        <w:gridCol w:w="781"/>
        <w:gridCol w:w="781"/>
        <w:gridCol w:w="853"/>
        <w:gridCol w:w="797"/>
        <w:gridCol w:w="767"/>
      </w:tblGrid>
      <w:tr w14:paraId="354C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vAlign w:val="center"/>
          </w:tcPr>
          <w:p w14:paraId="13EF9C15">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序号</w:t>
            </w:r>
          </w:p>
        </w:tc>
        <w:tc>
          <w:tcPr>
            <w:tcW w:w="564" w:type="pct"/>
            <w:vAlign w:val="center"/>
          </w:tcPr>
          <w:p w14:paraId="6D760A1F">
            <w:pPr>
              <w:spacing w:line="300" w:lineRule="exact"/>
              <w:jc w:val="center"/>
              <w:rPr>
                <w:rFonts w:hint="eastAsia" w:ascii="仿宋" w:hAnsi="仿宋" w:eastAsia="仿宋" w:cs="仿宋_GB2312"/>
                <w:kern w:val="0"/>
                <w:szCs w:val="21"/>
                <w:lang w:bidi="ar"/>
              </w:rPr>
            </w:pPr>
            <w:r>
              <w:rPr>
                <w:rFonts w:hint="eastAsia" w:ascii="仿宋" w:hAnsi="仿宋" w:eastAsia="仿宋" w:cs="仿宋_GB2312"/>
                <w:kern w:val="0"/>
                <w:szCs w:val="21"/>
                <w:lang w:bidi="ar"/>
              </w:rPr>
              <w:t>标的</w:t>
            </w:r>
          </w:p>
          <w:p w14:paraId="6A439DFB">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kern w:val="0"/>
                <w:szCs w:val="21"/>
                <w:lang w:bidi="ar"/>
              </w:rPr>
              <w:t>名称</w:t>
            </w:r>
          </w:p>
        </w:tc>
        <w:tc>
          <w:tcPr>
            <w:tcW w:w="654" w:type="pct"/>
            <w:vAlign w:val="center"/>
          </w:tcPr>
          <w:p w14:paraId="645998FF">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品目</w:t>
            </w:r>
          </w:p>
          <w:p w14:paraId="3F10838B">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分类</w:t>
            </w:r>
          </w:p>
        </w:tc>
        <w:tc>
          <w:tcPr>
            <w:tcW w:w="399" w:type="pct"/>
            <w:vAlign w:val="center"/>
          </w:tcPr>
          <w:p w14:paraId="779351C5">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数量</w:t>
            </w:r>
          </w:p>
        </w:tc>
        <w:tc>
          <w:tcPr>
            <w:tcW w:w="327" w:type="pct"/>
            <w:vAlign w:val="center"/>
          </w:tcPr>
          <w:p w14:paraId="69B4F072">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单位</w:t>
            </w:r>
          </w:p>
        </w:tc>
        <w:tc>
          <w:tcPr>
            <w:tcW w:w="532" w:type="pct"/>
            <w:vAlign w:val="center"/>
          </w:tcPr>
          <w:p w14:paraId="5D79253F">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单价</w:t>
            </w:r>
            <w:r>
              <w:rPr>
                <w:rFonts w:ascii="仿宋" w:hAnsi="仿宋" w:eastAsia="仿宋" w:cs="仿宋_GB2312"/>
                <w:spacing w:val="20"/>
                <w:kern w:val="0"/>
                <w:szCs w:val="21"/>
              </w:rPr>
              <w:t>(</w:t>
            </w:r>
            <w:r>
              <w:rPr>
                <w:rFonts w:hint="eastAsia" w:ascii="仿宋" w:hAnsi="仿宋" w:eastAsia="仿宋" w:cs="仿宋_GB2312"/>
                <w:spacing w:val="20"/>
                <w:kern w:val="0"/>
                <w:szCs w:val="21"/>
              </w:rPr>
              <w:t>元</w:t>
            </w:r>
            <w:r>
              <w:rPr>
                <w:rFonts w:ascii="仿宋" w:hAnsi="仿宋" w:eastAsia="仿宋" w:cs="仿宋_GB2312"/>
                <w:spacing w:val="20"/>
                <w:kern w:val="0"/>
                <w:szCs w:val="21"/>
              </w:rPr>
              <w:t>)</w:t>
            </w:r>
          </w:p>
        </w:tc>
        <w:tc>
          <w:tcPr>
            <w:tcW w:w="431" w:type="pct"/>
            <w:vAlign w:val="center"/>
          </w:tcPr>
          <w:p w14:paraId="2B4FAE78">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是否强制节能产品</w:t>
            </w:r>
          </w:p>
        </w:tc>
        <w:tc>
          <w:tcPr>
            <w:tcW w:w="431" w:type="pct"/>
            <w:vAlign w:val="center"/>
          </w:tcPr>
          <w:p w14:paraId="0B96C7F1">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是否优先节能产品</w:t>
            </w:r>
          </w:p>
        </w:tc>
        <w:tc>
          <w:tcPr>
            <w:tcW w:w="471" w:type="pct"/>
            <w:vAlign w:val="center"/>
          </w:tcPr>
          <w:p w14:paraId="32812B2A">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是否优先环保产品</w:t>
            </w:r>
          </w:p>
        </w:tc>
        <w:tc>
          <w:tcPr>
            <w:tcW w:w="440" w:type="pct"/>
            <w:vAlign w:val="center"/>
          </w:tcPr>
          <w:p w14:paraId="2061B018">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是否进口产品</w:t>
            </w:r>
          </w:p>
        </w:tc>
        <w:tc>
          <w:tcPr>
            <w:tcW w:w="424" w:type="pct"/>
            <w:vAlign w:val="center"/>
          </w:tcPr>
          <w:p w14:paraId="5EAD4748">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是否核心产品</w:t>
            </w:r>
          </w:p>
        </w:tc>
      </w:tr>
      <w:tr w14:paraId="2D87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vAlign w:val="center"/>
          </w:tcPr>
          <w:p w14:paraId="43371421">
            <w:pPr>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1</w:t>
            </w:r>
          </w:p>
        </w:tc>
        <w:tc>
          <w:tcPr>
            <w:tcW w:w="564" w:type="pct"/>
            <w:vAlign w:val="center"/>
          </w:tcPr>
          <w:p w14:paraId="330C1573">
            <w:pPr>
              <w:spacing w:line="300" w:lineRule="exact"/>
              <w:jc w:val="left"/>
              <w:rPr>
                <w:rFonts w:hint="eastAsia" w:ascii="仿宋" w:hAnsi="仿宋" w:eastAsia="仿宋" w:cs="仿宋_GB2312"/>
                <w:spacing w:val="20"/>
                <w:kern w:val="0"/>
                <w:szCs w:val="21"/>
              </w:rPr>
            </w:pPr>
          </w:p>
        </w:tc>
        <w:tc>
          <w:tcPr>
            <w:tcW w:w="654" w:type="pct"/>
            <w:vAlign w:val="center"/>
          </w:tcPr>
          <w:p w14:paraId="719F9FFC">
            <w:pPr>
              <w:spacing w:line="300" w:lineRule="exact"/>
              <w:jc w:val="left"/>
              <w:rPr>
                <w:rFonts w:hint="eastAsia" w:ascii="仿宋" w:hAnsi="仿宋" w:eastAsia="仿宋" w:cs="仿宋_GB2312"/>
                <w:spacing w:val="20"/>
                <w:kern w:val="0"/>
                <w:szCs w:val="21"/>
              </w:rPr>
            </w:pPr>
          </w:p>
        </w:tc>
        <w:tc>
          <w:tcPr>
            <w:tcW w:w="399" w:type="pct"/>
            <w:vAlign w:val="center"/>
          </w:tcPr>
          <w:p w14:paraId="13C98421">
            <w:pPr>
              <w:spacing w:line="300" w:lineRule="exact"/>
              <w:jc w:val="left"/>
              <w:rPr>
                <w:rFonts w:hint="eastAsia" w:ascii="仿宋" w:hAnsi="仿宋" w:eastAsia="仿宋" w:cs="仿宋_GB2312"/>
                <w:spacing w:val="20"/>
                <w:kern w:val="0"/>
                <w:szCs w:val="21"/>
              </w:rPr>
            </w:pPr>
          </w:p>
        </w:tc>
        <w:tc>
          <w:tcPr>
            <w:tcW w:w="327" w:type="pct"/>
            <w:vAlign w:val="center"/>
          </w:tcPr>
          <w:p w14:paraId="34DEA9F3">
            <w:pPr>
              <w:spacing w:line="300" w:lineRule="exact"/>
              <w:jc w:val="left"/>
              <w:rPr>
                <w:rFonts w:hint="eastAsia" w:ascii="仿宋" w:hAnsi="仿宋" w:eastAsia="仿宋" w:cs="仿宋_GB2312"/>
                <w:spacing w:val="20"/>
                <w:kern w:val="0"/>
                <w:szCs w:val="21"/>
              </w:rPr>
            </w:pPr>
          </w:p>
        </w:tc>
        <w:tc>
          <w:tcPr>
            <w:tcW w:w="532" w:type="pct"/>
            <w:vAlign w:val="center"/>
          </w:tcPr>
          <w:p w14:paraId="5D2A9F73">
            <w:pPr>
              <w:spacing w:line="300" w:lineRule="exact"/>
              <w:jc w:val="left"/>
              <w:rPr>
                <w:rFonts w:hint="eastAsia" w:ascii="仿宋" w:hAnsi="仿宋" w:eastAsia="仿宋" w:cs="仿宋_GB2312"/>
                <w:spacing w:val="20"/>
                <w:kern w:val="0"/>
                <w:szCs w:val="21"/>
              </w:rPr>
            </w:pPr>
          </w:p>
        </w:tc>
        <w:tc>
          <w:tcPr>
            <w:tcW w:w="431" w:type="pct"/>
          </w:tcPr>
          <w:p w14:paraId="2CCF9735">
            <w:pPr>
              <w:spacing w:line="300" w:lineRule="exact"/>
              <w:jc w:val="left"/>
              <w:rPr>
                <w:rFonts w:hint="eastAsia" w:ascii="仿宋" w:hAnsi="仿宋" w:eastAsia="仿宋" w:cs="仿宋_GB2312"/>
                <w:spacing w:val="20"/>
                <w:kern w:val="0"/>
                <w:szCs w:val="21"/>
              </w:rPr>
            </w:pPr>
          </w:p>
        </w:tc>
        <w:tc>
          <w:tcPr>
            <w:tcW w:w="431" w:type="pct"/>
            <w:vAlign w:val="center"/>
          </w:tcPr>
          <w:p w14:paraId="4733E641">
            <w:pPr>
              <w:spacing w:line="300" w:lineRule="exact"/>
              <w:jc w:val="left"/>
              <w:rPr>
                <w:rFonts w:hint="eastAsia" w:ascii="仿宋" w:hAnsi="仿宋" w:eastAsia="仿宋" w:cs="仿宋_GB2312"/>
                <w:spacing w:val="20"/>
                <w:kern w:val="0"/>
                <w:szCs w:val="21"/>
              </w:rPr>
            </w:pPr>
          </w:p>
        </w:tc>
        <w:tc>
          <w:tcPr>
            <w:tcW w:w="471" w:type="pct"/>
            <w:vAlign w:val="center"/>
          </w:tcPr>
          <w:p w14:paraId="2D151F89">
            <w:pPr>
              <w:spacing w:line="300" w:lineRule="exact"/>
              <w:jc w:val="left"/>
              <w:rPr>
                <w:rFonts w:hint="eastAsia" w:ascii="仿宋" w:hAnsi="仿宋" w:eastAsia="仿宋" w:cs="仿宋_GB2312"/>
                <w:spacing w:val="20"/>
                <w:kern w:val="0"/>
                <w:szCs w:val="21"/>
              </w:rPr>
            </w:pPr>
          </w:p>
        </w:tc>
        <w:tc>
          <w:tcPr>
            <w:tcW w:w="440" w:type="pct"/>
            <w:vAlign w:val="center"/>
          </w:tcPr>
          <w:p w14:paraId="1E678F08">
            <w:pPr>
              <w:spacing w:line="300" w:lineRule="exact"/>
              <w:jc w:val="left"/>
              <w:rPr>
                <w:rFonts w:hint="eastAsia" w:ascii="仿宋" w:hAnsi="仿宋" w:eastAsia="仿宋" w:cs="仿宋_GB2312"/>
                <w:spacing w:val="20"/>
                <w:kern w:val="0"/>
                <w:szCs w:val="21"/>
              </w:rPr>
            </w:pPr>
          </w:p>
        </w:tc>
        <w:tc>
          <w:tcPr>
            <w:tcW w:w="424" w:type="pct"/>
            <w:vAlign w:val="center"/>
          </w:tcPr>
          <w:p w14:paraId="05E6EB98">
            <w:pPr>
              <w:spacing w:line="300" w:lineRule="exact"/>
              <w:jc w:val="left"/>
              <w:rPr>
                <w:rFonts w:hint="eastAsia" w:ascii="仿宋" w:hAnsi="仿宋" w:eastAsia="仿宋" w:cs="仿宋_GB2312"/>
                <w:spacing w:val="20"/>
                <w:kern w:val="0"/>
                <w:szCs w:val="21"/>
              </w:rPr>
            </w:pPr>
          </w:p>
        </w:tc>
      </w:tr>
    </w:tbl>
    <w:p w14:paraId="788C5CE5">
      <w:pPr>
        <w:widowControl/>
        <w:shd w:val="clear" w:color="auto" w:fill="FFFFFF"/>
        <w:spacing w:line="300" w:lineRule="exact"/>
        <w:ind w:firstLine="500" w:firstLineChars="200"/>
        <w:jc w:val="left"/>
        <w:rPr>
          <w:rFonts w:hint="eastAsia" w:ascii="仿宋" w:hAnsi="仿宋" w:eastAsia="仿宋" w:cs="仿宋_GB2312"/>
          <w:spacing w:val="20"/>
          <w:szCs w:val="21"/>
        </w:rPr>
      </w:pPr>
    </w:p>
    <w:p w14:paraId="7658722E">
      <w:pPr>
        <w:widowControl/>
        <w:shd w:val="clear" w:color="auto" w:fill="FFFFFF"/>
        <w:spacing w:line="300" w:lineRule="exact"/>
        <w:ind w:firstLine="502" w:firstLineChars="200"/>
        <w:jc w:val="left"/>
        <w:rPr>
          <w:rFonts w:hint="eastAsia" w:ascii="仿宋" w:hAnsi="仿宋" w:eastAsia="仿宋" w:cs="宋体"/>
          <w:spacing w:val="20"/>
          <w:kern w:val="0"/>
          <w:szCs w:val="21"/>
        </w:rPr>
      </w:pPr>
      <w:r>
        <w:rPr>
          <w:rFonts w:hint="eastAsia" w:ascii="仿宋" w:hAnsi="仿宋" w:eastAsia="仿宋" w:cs="仿宋_GB2312"/>
          <w:b/>
          <w:bCs/>
          <w:spacing w:val="20"/>
          <w:szCs w:val="21"/>
        </w:rPr>
        <w:t>2.采购标的技术要求</w:t>
      </w:r>
      <w:r>
        <w:rPr>
          <w:rFonts w:ascii="仿宋" w:hAnsi="仿宋" w:eastAsia="仿宋" w:cs="宋体"/>
          <w:spacing w:val="20"/>
          <w:szCs w:val="21"/>
        </w:rPr>
        <w:t>(</w:t>
      </w:r>
      <w:r>
        <w:rPr>
          <w:rFonts w:hint="eastAsia" w:ascii="仿宋" w:hAnsi="仿宋" w:eastAsia="仿宋" w:cs="宋体"/>
          <w:spacing w:val="20"/>
          <w:szCs w:val="21"/>
        </w:rPr>
        <w:t>标的名称与采购标的清单一致</w:t>
      </w:r>
      <w:r>
        <w:rPr>
          <w:rFonts w:ascii="仿宋" w:hAnsi="仿宋" w:eastAsia="仿宋" w:cs="宋体"/>
          <w:spacing w:val="20"/>
          <w:szCs w:val="21"/>
        </w:rPr>
        <w:t>)</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
        <w:gridCol w:w="945"/>
        <w:gridCol w:w="6363"/>
        <w:gridCol w:w="768"/>
      </w:tblGrid>
      <w:tr w14:paraId="5376E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Align w:val="center"/>
          </w:tcPr>
          <w:p w14:paraId="74B51786">
            <w:pPr>
              <w:pStyle w:val="10"/>
              <w:spacing w:line="300" w:lineRule="exact"/>
              <w:jc w:val="center"/>
              <w:rPr>
                <w:rFonts w:hint="eastAsia" w:ascii="仿宋" w:hAnsi="仿宋" w:eastAsia="仿宋" w:cs="仿宋"/>
                <w:spacing w:val="20"/>
                <w:szCs w:val="21"/>
              </w:rPr>
            </w:pPr>
            <w:r>
              <w:rPr>
                <w:rFonts w:hint="eastAsia" w:ascii="仿宋" w:hAnsi="仿宋" w:eastAsia="仿宋" w:cs="仿宋"/>
                <w:spacing w:val="20"/>
                <w:szCs w:val="21"/>
              </w:rPr>
              <w:t>序号</w:t>
            </w:r>
          </w:p>
        </w:tc>
        <w:tc>
          <w:tcPr>
            <w:tcW w:w="522" w:type="pct"/>
            <w:vAlign w:val="center"/>
          </w:tcPr>
          <w:p w14:paraId="2A1C160D">
            <w:pPr>
              <w:pStyle w:val="10"/>
              <w:spacing w:line="300" w:lineRule="exact"/>
              <w:jc w:val="center"/>
              <w:rPr>
                <w:rFonts w:hint="eastAsia" w:ascii="仿宋" w:hAnsi="仿宋" w:eastAsia="仿宋" w:cs="仿宋_GB2312"/>
                <w:kern w:val="0"/>
                <w:szCs w:val="21"/>
                <w:lang w:bidi="ar"/>
              </w:rPr>
            </w:pPr>
            <w:r>
              <w:rPr>
                <w:rFonts w:hint="eastAsia" w:ascii="仿宋" w:hAnsi="仿宋" w:eastAsia="仿宋" w:cs="仿宋_GB2312"/>
                <w:kern w:val="0"/>
                <w:szCs w:val="21"/>
                <w:lang w:bidi="ar"/>
              </w:rPr>
              <w:t>标的</w:t>
            </w:r>
          </w:p>
          <w:p w14:paraId="765ADD12">
            <w:pPr>
              <w:pStyle w:val="10"/>
              <w:spacing w:line="300" w:lineRule="exact"/>
              <w:jc w:val="center"/>
              <w:rPr>
                <w:rFonts w:hint="eastAsia" w:ascii="仿宋" w:hAnsi="仿宋" w:eastAsia="仿宋" w:cs="仿宋"/>
                <w:spacing w:val="20"/>
                <w:szCs w:val="21"/>
              </w:rPr>
            </w:pPr>
            <w:r>
              <w:rPr>
                <w:rFonts w:hint="eastAsia" w:ascii="仿宋" w:hAnsi="仿宋" w:eastAsia="仿宋" w:cs="仿宋_GB2312"/>
                <w:kern w:val="0"/>
                <w:szCs w:val="21"/>
                <w:lang w:bidi="ar"/>
              </w:rPr>
              <w:t>名称</w:t>
            </w:r>
          </w:p>
        </w:tc>
        <w:tc>
          <w:tcPr>
            <w:tcW w:w="3513" w:type="pct"/>
            <w:vAlign w:val="center"/>
          </w:tcPr>
          <w:p w14:paraId="07162E3E">
            <w:pPr>
              <w:pStyle w:val="10"/>
              <w:spacing w:line="300" w:lineRule="exact"/>
              <w:jc w:val="center"/>
              <w:rPr>
                <w:rFonts w:hint="eastAsia" w:ascii="仿宋" w:hAnsi="仿宋" w:eastAsia="仿宋" w:cs="仿宋"/>
                <w:spacing w:val="20"/>
                <w:szCs w:val="21"/>
              </w:rPr>
            </w:pPr>
            <w:r>
              <w:rPr>
                <w:rFonts w:hint="eastAsia" w:ascii="仿宋" w:hAnsi="仿宋" w:eastAsia="仿宋" w:cs="仿宋"/>
                <w:spacing w:val="20"/>
                <w:szCs w:val="21"/>
              </w:rPr>
              <w:t>技术要求内容（性能指标）</w:t>
            </w:r>
          </w:p>
        </w:tc>
        <w:tc>
          <w:tcPr>
            <w:tcW w:w="424" w:type="pct"/>
            <w:vAlign w:val="center"/>
          </w:tcPr>
          <w:p w14:paraId="200535A5">
            <w:pPr>
              <w:pStyle w:val="10"/>
              <w:spacing w:line="300" w:lineRule="exact"/>
              <w:jc w:val="center"/>
              <w:rPr>
                <w:rFonts w:hint="eastAsia" w:ascii="仿宋" w:hAnsi="仿宋" w:eastAsia="仿宋" w:cs="仿宋"/>
                <w:spacing w:val="20"/>
                <w:szCs w:val="21"/>
              </w:rPr>
            </w:pPr>
            <w:r>
              <w:rPr>
                <w:rFonts w:hint="eastAsia" w:ascii="仿宋" w:hAnsi="仿宋" w:eastAsia="仿宋" w:cs="仿宋"/>
                <w:spacing w:val="20"/>
                <w:szCs w:val="21"/>
              </w:rPr>
              <w:t>备注</w:t>
            </w:r>
          </w:p>
        </w:tc>
      </w:tr>
      <w:tr w14:paraId="2022B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Align w:val="center"/>
          </w:tcPr>
          <w:p w14:paraId="041E57A2">
            <w:pPr>
              <w:widowControl/>
              <w:spacing w:line="300" w:lineRule="exact"/>
              <w:jc w:val="center"/>
              <w:rPr>
                <w:rFonts w:hint="eastAsia" w:ascii="仿宋" w:hAnsi="仿宋" w:eastAsia="仿宋" w:cs="仿宋"/>
                <w:spacing w:val="20"/>
                <w:szCs w:val="21"/>
              </w:rPr>
            </w:pPr>
            <w:r>
              <w:rPr>
                <w:rFonts w:ascii="仿宋" w:hAnsi="仿宋" w:eastAsia="仿宋" w:cs="仿宋"/>
                <w:spacing w:val="20"/>
                <w:szCs w:val="21"/>
              </w:rPr>
              <w:t>1</w:t>
            </w:r>
          </w:p>
        </w:tc>
        <w:tc>
          <w:tcPr>
            <w:tcW w:w="522" w:type="pct"/>
            <w:vAlign w:val="center"/>
          </w:tcPr>
          <w:p w14:paraId="3701D911">
            <w:pPr>
              <w:widowControl/>
              <w:spacing w:line="300" w:lineRule="exact"/>
              <w:jc w:val="left"/>
              <w:rPr>
                <w:rFonts w:hint="eastAsia" w:ascii="仿宋" w:hAnsi="仿宋" w:eastAsia="仿宋" w:cs="仿宋"/>
                <w:spacing w:val="20"/>
                <w:szCs w:val="21"/>
              </w:rPr>
            </w:pPr>
          </w:p>
        </w:tc>
        <w:tc>
          <w:tcPr>
            <w:tcW w:w="3513" w:type="pct"/>
            <w:vAlign w:val="center"/>
          </w:tcPr>
          <w:p w14:paraId="69E01449">
            <w:pPr>
              <w:widowControl/>
              <w:spacing w:line="300" w:lineRule="exact"/>
              <w:jc w:val="left"/>
              <w:rPr>
                <w:rFonts w:hint="eastAsia" w:ascii="仿宋" w:hAnsi="仿宋" w:eastAsia="仿宋" w:cs="仿宋"/>
                <w:spacing w:val="20"/>
                <w:szCs w:val="21"/>
              </w:rPr>
            </w:pPr>
          </w:p>
        </w:tc>
        <w:tc>
          <w:tcPr>
            <w:tcW w:w="424" w:type="pct"/>
            <w:vAlign w:val="center"/>
          </w:tcPr>
          <w:p w14:paraId="37EE0A00">
            <w:pPr>
              <w:widowControl/>
              <w:spacing w:line="300" w:lineRule="exact"/>
              <w:jc w:val="left"/>
              <w:rPr>
                <w:rFonts w:hint="eastAsia" w:ascii="仿宋" w:hAnsi="仿宋" w:eastAsia="仿宋" w:cs="宋体"/>
                <w:b/>
                <w:kern w:val="0"/>
                <w:szCs w:val="21"/>
              </w:rPr>
            </w:pPr>
          </w:p>
        </w:tc>
      </w:tr>
    </w:tbl>
    <w:p w14:paraId="14DB4AB4">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注：</w:t>
      </w:r>
    </w:p>
    <w:p w14:paraId="3BCDA80B">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综合评分法适用:</w:t>
      </w:r>
    </w:p>
    <w:p w14:paraId="5BB480DE">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★：必须实质性响应的参数（负偏离投标无效）；</w:t>
      </w:r>
    </w:p>
    <w:p w14:paraId="36C09A71">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▲：作为评分项加减分的重要参数（分值大于一般参数，允许负偏离的参数）；</w:t>
      </w:r>
    </w:p>
    <w:p w14:paraId="15F1BA12">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无符号：作为评分项加减分的一般参数（允许负偏离的参数）；</w:t>
      </w:r>
    </w:p>
    <w:p w14:paraId="757BEFEB">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●：需送样或演示的参数（允许负偏离的参数）。</w:t>
      </w:r>
    </w:p>
    <w:p w14:paraId="2EB01118">
      <w:pPr>
        <w:pStyle w:val="2"/>
        <w:spacing w:line="300" w:lineRule="exact"/>
        <w:ind w:firstLine="500" w:firstLineChars="200"/>
        <w:jc w:val="left"/>
        <w:rPr>
          <w:rFonts w:hint="eastAsia" w:ascii="仿宋" w:hAnsi="仿宋" w:eastAsia="仿宋"/>
          <w:b w:val="0"/>
          <w:bCs/>
          <w:spacing w:val="20"/>
          <w:sz w:val="21"/>
          <w:szCs w:val="21"/>
        </w:rPr>
      </w:pPr>
    </w:p>
    <w:p w14:paraId="338C8FF9">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最低评标价法适用：</w:t>
      </w:r>
    </w:p>
    <w:p w14:paraId="327C1D86">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★：必须实质性响应的参数（负偏离投标无效）；</w:t>
      </w:r>
    </w:p>
    <w:p w14:paraId="4C48C392">
      <w:pPr>
        <w:pStyle w:val="2"/>
        <w:spacing w:line="300" w:lineRule="exact"/>
        <w:ind w:firstLine="500" w:firstLineChars="200"/>
        <w:jc w:val="left"/>
        <w:rPr>
          <w:rFonts w:hint="eastAsia" w:ascii="仿宋" w:hAnsi="仿宋" w:eastAsia="仿宋"/>
          <w:b w:val="0"/>
          <w:bCs/>
          <w:spacing w:val="20"/>
          <w:sz w:val="21"/>
          <w:szCs w:val="21"/>
        </w:rPr>
      </w:pPr>
      <w:r>
        <w:rPr>
          <w:rFonts w:hint="eastAsia" w:ascii="仿宋" w:hAnsi="仿宋" w:eastAsia="仿宋"/>
          <w:b w:val="0"/>
          <w:bCs/>
          <w:spacing w:val="20"/>
          <w:sz w:val="21"/>
          <w:szCs w:val="21"/>
        </w:rPr>
        <w:t>无符号：允许负偏离的参数。</w:t>
      </w:r>
    </w:p>
    <w:p w14:paraId="39800AE7">
      <w:pPr>
        <w:pStyle w:val="2"/>
        <w:spacing w:line="300" w:lineRule="exact"/>
        <w:ind w:firstLine="502" w:firstLineChars="200"/>
        <w:jc w:val="left"/>
        <w:rPr>
          <w:rFonts w:hint="eastAsia" w:ascii="仿宋" w:hAnsi="仿宋" w:eastAsia="仿宋"/>
          <w:spacing w:val="20"/>
          <w:sz w:val="21"/>
          <w:szCs w:val="21"/>
        </w:rPr>
      </w:pPr>
    </w:p>
    <w:p w14:paraId="05BFF002">
      <w:pPr>
        <w:pStyle w:val="2"/>
        <w:spacing w:line="300" w:lineRule="exact"/>
        <w:ind w:firstLine="500" w:firstLineChars="200"/>
        <w:jc w:val="left"/>
        <w:rPr>
          <w:rFonts w:hint="eastAsia" w:ascii="黑体" w:hAnsi="黑体" w:eastAsia="黑体"/>
          <w:b w:val="0"/>
          <w:bCs/>
          <w:spacing w:val="20"/>
          <w:sz w:val="21"/>
          <w:szCs w:val="21"/>
        </w:rPr>
      </w:pPr>
      <w:r>
        <w:rPr>
          <w:rFonts w:hint="eastAsia" w:ascii="黑体" w:hAnsi="黑体" w:eastAsia="黑体"/>
          <w:b w:val="0"/>
          <w:bCs/>
          <w:spacing w:val="20"/>
          <w:sz w:val="21"/>
          <w:szCs w:val="21"/>
        </w:rPr>
        <w:t>四、项目需求及分包、采购标的</w:t>
      </w:r>
    </w:p>
    <w:p w14:paraId="2F673CCB">
      <w:pPr>
        <w:pStyle w:val="3"/>
        <w:spacing w:line="300" w:lineRule="exact"/>
        <w:ind w:firstLine="500" w:firstLineChars="200"/>
        <w:rPr>
          <w:rFonts w:hint="eastAsia" w:ascii="楷体" w:hAnsi="楷体" w:eastAsia="楷体"/>
          <w:b w:val="0"/>
          <w:bCs w:val="0"/>
          <w:strike/>
          <w:spacing w:val="20"/>
          <w:sz w:val="21"/>
          <w:szCs w:val="21"/>
        </w:rPr>
      </w:pPr>
      <w:r>
        <w:rPr>
          <w:rFonts w:ascii="楷体" w:hAnsi="楷体" w:eastAsia="楷体"/>
          <w:b w:val="0"/>
          <w:bCs w:val="0"/>
          <w:spacing w:val="20"/>
          <w:sz w:val="21"/>
          <w:szCs w:val="21"/>
        </w:rPr>
        <w:t>1.</w:t>
      </w:r>
      <w:r>
        <w:rPr>
          <w:rFonts w:hint="eastAsia" w:ascii="楷体" w:hAnsi="楷体" w:eastAsia="楷体"/>
          <w:b w:val="0"/>
          <w:bCs w:val="0"/>
          <w:spacing w:val="20"/>
          <w:sz w:val="21"/>
          <w:szCs w:val="21"/>
        </w:rPr>
        <w:t>分包名称：合同包一</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9"/>
        <w:gridCol w:w="7317"/>
      </w:tblGrid>
      <w:tr w14:paraId="3204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60" w:type="pct"/>
            <w:vAlign w:val="center"/>
          </w:tcPr>
          <w:p w14:paraId="2693F6D6">
            <w:pPr>
              <w:pStyle w:val="10"/>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预算金额</w:t>
            </w:r>
          </w:p>
        </w:tc>
        <w:tc>
          <w:tcPr>
            <w:tcW w:w="4040" w:type="pct"/>
            <w:vAlign w:val="center"/>
          </w:tcPr>
          <w:p w14:paraId="15714756">
            <w:pPr>
              <w:pStyle w:val="4"/>
              <w:spacing w:line="300" w:lineRule="exact"/>
              <w:ind w:firstLine="0" w:firstLineChars="0"/>
              <w:rPr>
                <w:rFonts w:hint="eastAsia" w:ascii="仿宋" w:hAnsi="仿宋" w:eastAsia="仿宋" w:cs="仿宋_GB2312"/>
                <w:color w:val="auto"/>
                <w:spacing w:val="20"/>
                <w:sz w:val="21"/>
                <w:szCs w:val="21"/>
              </w:rPr>
            </w:pPr>
            <w:r>
              <w:rPr>
                <w:rFonts w:hint="eastAsia" w:ascii="仿宋" w:hAnsi="仿宋" w:eastAsia="仿宋" w:cs="仿宋_GB2312"/>
                <w:color w:val="auto"/>
                <w:spacing w:val="20"/>
                <w:sz w:val="21"/>
                <w:szCs w:val="21"/>
              </w:rPr>
              <w:t>预算金额（元）：</w:t>
            </w:r>
            <w:r>
              <w:rPr>
                <w:rFonts w:ascii="仿宋" w:hAnsi="仿宋" w:eastAsia="仿宋" w:cs="仿宋_GB2312"/>
                <w:color w:val="auto"/>
                <w:spacing w:val="20"/>
                <w:sz w:val="21"/>
                <w:szCs w:val="21"/>
              </w:rPr>
              <w:t xml:space="preserve">           </w:t>
            </w:r>
          </w:p>
          <w:p w14:paraId="35CA6EAE">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t>最高限价（元）：</w:t>
            </w:r>
            <w:r>
              <w:rPr>
                <w:rFonts w:ascii="仿宋" w:hAnsi="仿宋" w:eastAsia="仿宋" w:cs="仿宋_GB2312"/>
                <w:spacing w:val="20"/>
                <w:kern w:val="0"/>
                <w:szCs w:val="21"/>
              </w:rPr>
              <w:t xml:space="preserve">           </w:t>
            </w:r>
          </w:p>
        </w:tc>
      </w:tr>
      <w:tr w14:paraId="59A6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60" w:type="pct"/>
            <w:vAlign w:val="center"/>
          </w:tcPr>
          <w:p w14:paraId="01BDAD6E">
            <w:pPr>
              <w:pStyle w:val="10"/>
              <w:spacing w:line="300" w:lineRule="exact"/>
              <w:jc w:val="center"/>
              <w:rPr>
                <w:rFonts w:hint="eastAsia" w:ascii="仿宋" w:hAnsi="仿宋" w:eastAsia="仿宋" w:cs="仿宋_GB2312"/>
                <w:spacing w:val="20"/>
                <w:kern w:val="0"/>
                <w:szCs w:val="21"/>
              </w:rPr>
            </w:pPr>
            <w:r>
              <w:rPr>
                <w:rFonts w:hint="eastAsia" w:ascii="仿宋" w:hAnsi="仿宋" w:eastAsia="仿宋" w:cs="仿宋_GB2312"/>
                <w:spacing w:val="20"/>
                <w:kern w:val="0"/>
                <w:szCs w:val="21"/>
              </w:rPr>
              <w:t>评审方法</w:t>
            </w:r>
          </w:p>
        </w:tc>
        <w:tc>
          <w:tcPr>
            <w:tcW w:w="4040" w:type="pct"/>
            <w:vAlign w:val="center"/>
          </w:tcPr>
          <w:p w14:paraId="4590A8C1">
            <w:pPr>
              <w:widowControl/>
              <w:shd w:val="clear" w:color="auto" w:fill="FFFFFF"/>
              <w:spacing w:line="300" w:lineRule="exact"/>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t>□最低评标价法</w:t>
            </w:r>
            <w:r>
              <w:rPr>
                <w:rFonts w:ascii="仿宋" w:hAnsi="仿宋" w:eastAsia="仿宋" w:cs="仿宋_GB2312"/>
                <w:spacing w:val="20"/>
                <w:kern w:val="0"/>
                <w:szCs w:val="21"/>
              </w:rPr>
              <w:t xml:space="preserve">        </w:t>
            </w:r>
            <w:r>
              <w:rPr>
                <w:rFonts w:hint="eastAsia" w:ascii="仿宋" w:hAnsi="仿宋" w:eastAsia="仿宋" w:cs="仿宋_GB2312"/>
                <w:spacing w:val="20"/>
                <w:kern w:val="0"/>
                <w:szCs w:val="21"/>
              </w:rPr>
              <w:t>□综合评分法</w:t>
            </w:r>
          </w:p>
        </w:tc>
      </w:tr>
    </w:tbl>
    <w:p w14:paraId="18CD1BC5">
      <w:pPr>
        <w:pStyle w:val="4"/>
        <w:tabs>
          <w:tab w:val="left" w:pos="312"/>
        </w:tabs>
        <w:spacing w:line="300" w:lineRule="exact"/>
        <w:ind w:firstLine="500"/>
        <w:rPr>
          <w:rFonts w:hint="eastAsia" w:ascii="仿宋" w:hAnsi="仿宋" w:eastAsia="仿宋" w:cs="仿宋_GB2312"/>
          <w:bCs w:val="0"/>
          <w:color w:val="auto"/>
          <w:spacing w:val="20"/>
          <w:kern w:val="2"/>
          <w:sz w:val="21"/>
          <w:szCs w:val="21"/>
        </w:rPr>
      </w:pPr>
    </w:p>
    <w:p w14:paraId="1286B166">
      <w:pPr>
        <w:pStyle w:val="4"/>
        <w:numPr>
          <w:ilvl w:val="0"/>
          <w:numId w:val="1"/>
        </w:numPr>
        <w:spacing w:line="300" w:lineRule="exact"/>
        <w:ind w:firstLine="500"/>
        <w:rPr>
          <w:rFonts w:hint="eastAsia" w:ascii="楷体" w:hAnsi="楷体" w:eastAsia="楷体" w:cs="仿宋_GB2312"/>
          <w:color w:val="auto"/>
          <w:spacing w:val="20"/>
          <w:kern w:val="2"/>
          <w:sz w:val="21"/>
          <w:szCs w:val="21"/>
        </w:rPr>
      </w:pPr>
      <w:r>
        <w:rPr>
          <w:rFonts w:hint="eastAsia" w:ascii="楷体" w:hAnsi="楷体" w:eastAsia="楷体"/>
          <w:color w:val="auto"/>
          <w:spacing w:val="20"/>
          <w:sz w:val="21"/>
          <w:szCs w:val="21"/>
        </w:rPr>
        <w:t>评审条款</w:t>
      </w:r>
      <w:r>
        <w:rPr>
          <w:rFonts w:hint="eastAsia" w:ascii="仿宋" w:hAnsi="仿宋" w:eastAsia="仿宋" w:cs="仿宋_GB2312"/>
          <w:color w:val="auto"/>
          <w:spacing w:val="20"/>
          <w:kern w:val="2"/>
          <w:sz w:val="21"/>
          <w:szCs w:val="21"/>
        </w:rPr>
        <w:t>（综合评分法或竞争性磋商填写）</w:t>
      </w:r>
    </w:p>
    <w:p w14:paraId="2F5752A6">
      <w:pPr>
        <w:pStyle w:val="4"/>
        <w:spacing w:line="300" w:lineRule="exact"/>
        <w:ind w:firstLine="500"/>
        <w:rPr>
          <w:rFonts w:hint="eastAsia" w:ascii="仿宋" w:hAnsi="仿宋" w:eastAsia="仿宋" w:cs="仿宋_GB2312"/>
          <w:bCs w:val="0"/>
          <w:color w:val="auto"/>
          <w:spacing w:val="20"/>
          <w:kern w:val="2"/>
          <w:sz w:val="21"/>
          <w:szCs w:val="21"/>
        </w:rPr>
      </w:pPr>
      <w:r>
        <w:rPr>
          <w:rFonts w:hint="eastAsia" w:ascii="仿宋" w:hAnsi="仿宋" w:eastAsia="仿宋" w:cs="仿宋_GB2312"/>
          <w:bCs w:val="0"/>
          <w:color w:val="auto"/>
          <w:spacing w:val="20"/>
          <w:kern w:val="2"/>
          <w:sz w:val="21"/>
          <w:szCs w:val="21"/>
        </w:rPr>
        <w:t>以下为参考模板，请根据项目实际需求设置：</w:t>
      </w:r>
    </w:p>
    <w:tbl>
      <w:tblPr>
        <w:tblStyle w:val="14"/>
        <w:tblW w:w="5000" w:type="pct"/>
        <w:jc w:val="center"/>
        <w:tblLayout w:type="autofit"/>
        <w:tblCellMar>
          <w:top w:w="0" w:type="dxa"/>
          <w:left w:w="108" w:type="dxa"/>
          <w:bottom w:w="0" w:type="dxa"/>
          <w:right w:w="108" w:type="dxa"/>
        </w:tblCellMar>
      </w:tblPr>
      <w:tblGrid>
        <w:gridCol w:w="1160"/>
        <w:gridCol w:w="725"/>
        <w:gridCol w:w="6251"/>
        <w:gridCol w:w="924"/>
      </w:tblGrid>
      <w:tr w14:paraId="27003206">
        <w:tblPrEx>
          <w:tblCellMar>
            <w:top w:w="0" w:type="dxa"/>
            <w:left w:w="108" w:type="dxa"/>
            <w:bottom w:w="0" w:type="dxa"/>
            <w:right w:w="108" w:type="dxa"/>
          </w:tblCellMar>
        </w:tblPrEx>
        <w:trPr>
          <w:trHeight w:val="600"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6F74EC9C">
            <w:pPr>
              <w:widowControl/>
              <w:spacing w:line="300" w:lineRule="exact"/>
              <w:jc w:val="center"/>
              <w:textAlignment w:val="center"/>
              <w:rPr>
                <w:rFonts w:hint="eastAsia" w:ascii="仿宋" w:hAnsi="仿宋" w:eastAsia="仿宋" w:cs="宋体"/>
                <w:szCs w:val="21"/>
              </w:rPr>
            </w:pPr>
            <w:r>
              <w:rPr>
                <w:rFonts w:hint="eastAsia" w:ascii="仿宋" w:hAnsi="仿宋" w:eastAsia="仿宋" w:cs="宋体"/>
                <w:kern w:val="0"/>
                <w:szCs w:val="21"/>
                <w:lang w:bidi="ar"/>
              </w:rPr>
              <w:t>评标项目</w:t>
            </w:r>
          </w:p>
        </w:tc>
        <w:tc>
          <w:tcPr>
            <w:tcW w:w="400" w:type="pct"/>
            <w:tcBorders>
              <w:top w:val="single" w:color="000000" w:sz="4" w:space="0"/>
              <w:left w:val="single" w:color="000000" w:sz="4" w:space="0"/>
              <w:bottom w:val="single" w:color="000000" w:sz="4" w:space="0"/>
              <w:right w:val="single" w:color="000000" w:sz="4" w:space="0"/>
            </w:tcBorders>
            <w:vAlign w:val="center"/>
          </w:tcPr>
          <w:p w14:paraId="3FDF84C3">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评标分值</w:t>
            </w:r>
          </w:p>
        </w:tc>
        <w:tc>
          <w:tcPr>
            <w:tcW w:w="3450" w:type="pct"/>
            <w:tcBorders>
              <w:top w:val="single" w:color="000000" w:sz="4" w:space="0"/>
              <w:left w:val="single" w:color="000000" w:sz="4" w:space="0"/>
              <w:bottom w:val="single" w:color="000000" w:sz="4" w:space="0"/>
              <w:right w:val="single" w:color="000000" w:sz="4" w:space="0"/>
            </w:tcBorders>
            <w:vAlign w:val="center"/>
          </w:tcPr>
          <w:p w14:paraId="7445F191">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评分细则或评分方法描述</w:t>
            </w:r>
          </w:p>
        </w:tc>
        <w:tc>
          <w:tcPr>
            <w:tcW w:w="510" w:type="pct"/>
            <w:tcBorders>
              <w:top w:val="single" w:color="000000" w:sz="4" w:space="0"/>
              <w:left w:val="single" w:color="000000" w:sz="4" w:space="0"/>
              <w:bottom w:val="single" w:color="000000" w:sz="4" w:space="0"/>
              <w:right w:val="single" w:color="000000" w:sz="4" w:space="0"/>
            </w:tcBorders>
            <w:vAlign w:val="center"/>
          </w:tcPr>
          <w:p w14:paraId="72DD30F9">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客观/主观</w:t>
            </w:r>
          </w:p>
        </w:tc>
      </w:tr>
      <w:tr w14:paraId="40F989E2">
        <w:tblPrEx>
          <w:tblCellMar>
            <w:top w:w="0" w:type="dxa"/>
            <w:left w:w="108" w:type="dxa"/>
            <w:bottom w:w="0" w:type="dxa"/>
            <w:right w:w="108" w:type="dxa"/>
          </w:tblCellMar>
        </w:tblPrEx>
        <w:trPr>
          <w:trHeight w:val="1916"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2305169F">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报价</w:t>
            </w:r>
          </w:p>
          <w:p w14:paraId="561A2981">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(价格分权重：货物类不低于30%，服务类不低于10%)</w:t>
            </w:r>
          </w:p>
        </w:tc>
        <w:tc>
          <w:tcPr>
            <w:tcW w:w="400" w:type="pct"/>
            <w:tcBorders>
              <w:top w:val="single" w:color="000000" w:sz="4" w:space="0"/>
              <w:left w:val="single" w:color="000000" w:sz="4" w:space="0"/>
              <w:bottom w:val="single" w:color="000000" w:sz="4" w:space="0"/>
              <w:right w:val="single" w:color="000000" w:sz="4" w:space="0"/>
            </w:tcBorders>
            <w:vAlign w:val="center"/>
          </w:tcPr>
          <w:p w14:paraId="56F69B7E">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X分</w:t>
            </w:r>
          </w:p>
        </w:tc>
        <w:tc>
          <w:tcPr>
            <w:tcW w:w="3450" w:type="pct"/>
            <w:tcBorders>
              <w:top w:val="single" w:color="000000" w:sz="4" w:space="0"/>
              <w:left w:val="single" w:color="000000" w:sz="4" w:space="0"/>
              <w:bottom w:val="single" w:color="000000" w:sz="4" w:space="0"/>
              <w:right w:val="single" w:color="000000" w:sz="4" w:space="0"/>
            </w:tcBorders>
            <w:vAlign w:val="center"/>
          </w:tcPr>
          <w:p w14:paraId="433E5CD3">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满足采购文件要求且报价最低的为评审基准价，价格得分=（评审基准价÷报价）×标准分值</w:t>
            </w:r>
          </w:p>
        </w:tc>
        <w:tc>
          <w:tcPr>
            <w:tcW w:w="510" w:type="pct"/>
            <w:tcBorders>
              <w:top w:val="single" w:color="000000" w:sz="4" w:space="0"/>
              <w:left w:val="single" w:color="000000" w:sz="4" w:space="0"/>
              <w:bottom w:val="single" w:color="000000" w:sz="4" w:space="0"/>
              <w:right w:val="single" w:color="000000" w:sz="4" w:space="0"/>
            </w:tcBorders>
            <w:vAlign w:val="center"/>
          </w:tcPr>
          <w:p w14:paraId="5AB34FA5">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w:t>
            </w:r>
          </w:p>
        </w:tc>
      </w:tr>
      <w:tr w14:paraId="74578A2A">
        <w:tblPrEx>
          <w:tblCellMar>
            <w:top w:w="0" w:type="dxa"/>
            <w:left w:w="108" w:type="dxa"/>
            <w:bottom w:w="0" w:type="dxa"/>
            <w:right w:w="108" w:type="dxa"/>
          </w:tblCellMar>
        </w:tblPrEx>
        <w:trPr>
          <w:trHeight w:val="166"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2850AA7D">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技术要求</w:t>
            </w:r>
          </w:p>
        </w:tc>
        <w:tc>
          <w:tcPr>
            <w:tcW w:w="400" w:type="pct"/>
            <w:tcBorders>
              <w:top w:val="single" w:color="000000" w:sz="4" w:space="0"/>
              <w:left w:val="single" w:color="000000" w:sz="4" w:space="0"/>
              <w:bottom w:val="single" w:color="000000" w:sz="4" w:space="0"/>
              <w:right w:val="single" w:color="000000" w:sz="4" w:space="0"/>
            </w:tcBorders>
            <w:vAlign w:val="center"/>
          </w:tcPr>
          <w:p w14:paraId="2B6976B1">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X分</w:t>
            </w:r>
          </w:p>
        </w:tc>
        <w:tc>
          <w:tcPr>
            <w:tcW w:w="3450" w:type="pct"/>
            <w:tcBorders>
              <w:top w:val="single" w:color="000000" w:sz="4" w:space="0"/>
              <w:left w:val="single" w:color="000000" w:sz="4" w:space="0"/>
              <w:bottom w:val="single" w:color="000000" w:sz="4" w:space="0"/>
              <w:right w:val="single" w:color="000000" w:sz="4" w:space="0"/>
            </w:tcBorders>
            <w:vAlign w:val="center"/>
          </w:tcPr>
          <w:p w14:paraId="1FDBA5B3">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供应商对采购文件的技术参数进行逐条响应，完全响应、没有负偏离得 XX 分。 </w:t>
            </w:r>
          </w:p>
          <w:p w14:paraId="635BBAB7">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（1）重要技术参数得分=供应商完全满足重要技术参数的数量÷重要技术参数的总数量× XX 分</w:t>
            </w:r>
          </w:p>
          <w:p w14:paraId="0A2A75E2">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（2）一般技术参数条款得分=供应商满足一般技术参数的数量÷一般技术参数的总数量× XX 分</w:t>
            </w:r>
          </w:p>
          <w:p w14:paraId="265A132B">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注：</w:t>
            </w:r>
          </w:p>
          <w:p w14:paraId="587B60D5">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1）带“★”的实质性要求不参与评分，供应商须完全满足，否则做无效投标（无效响应）处理；重要技术参数为标注“▲”的条款；一般技术参数为未标注“▲”、“★”的条款； </w:t>
            </w:r>
          </w:p>
          <w:p w14:paraId="7496ADA7">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2）针对投标产品的“▲”号条款，供应商须按照对应技术参数条目的要求提供相应证明材料； </w:t>
            </w:r>
          </w:p>
          <w:p w14:paraId="64CF6052">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3）无子项的要求，按该项扣分；</w:t>
            </w:r>
          </w:p>
          <w:p w14:paraId="6B85AD6F">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4）有子项的要求，按最末级的子项扣分；</w:t>
            </w:r>
          </w:p>
          <w:p w14:paraId="7F84865A">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5）如重要技术参数或一般技术参数计算得分后有小数的，按四舍五入法保留小数点后两位。</w:t>
            </w:r>
          </w:p>
        </w:tc>
        <w:tc>
          <w:tcPr>
            <w:tcW w:w="510" w:type="pct"/>
            <w:tcBorders>
              <w:top w:val="single" w:color="000000" w:sz="4" w:space="0"/>
              <w:left w:val="single" w:color="000000" w:sz="4" w:space="0"/>
              <w:bottom w:val="single" w:color="000000" w:sz="4" w:space="0"/>
              <w:right w:val="single" w:color="000000" w:sz="4" w:space="0"/>
            </w:tcBorders>
            <w:vAlign w:val="center"/>
          </w:tcPr>
          <w:p w14:paraId="544DC0F3">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w:t>
            </w:r>
          </w:p>
        </w:tc>
      </w:tr>
      <w:tr w14:paraId="473830C0">
        <w:tblPrEx>
          <w:tblCellMar>
            <w:top w:w="0" w:type="dxa"/>
            <w:left w:w="108" w:type="dxa"/>
            <w:bottom w:w="0" w:type="dxa"/>
            <w:right w:w="108" w:type="dxa"/>
          </w:tblCellMar>
        </w:tblPrEx>
        <w:trPr>
          <w:trHeight w:val="314"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449D68DC">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实施方案</w:t>
            </w:r>
          </w:p>
          <w:p w14:paraId="41CB9050">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(设计方案、服务方案)</w:t>
            </w:r>
          </w:p>
        </w:tc>
        <w:tc>
          <w:tcPr>
            <w:tcW w:w="400" w:type="pct"/>
            <w:tcBorders>
              <w:top w:val="single" w:color="000000" w:sz="4" w:space="0"/>
              <w:left w:val="single" w:color="000000" w:sz="4" w:space="0"/>
              <w:bottom w:val="single" w:color="000000" w:sz="4" w:space="0"/>
              <w:right w:val="single" w:color="000000" w:sz="4" w:space="0"/>
            </w:tcBorders>
            <w:vAlign w:val="center"/>
          </w:tcPr>
          <w:p w14:paraId="42883622">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X分</w:t>
            </w:r>
          </w:p>
        </w:tc>
        <w:tc>
          <w:tcPr>
            <w:tcW w:w="3450" w:type="pct"/>
            <w:tcBorders>
              <w:top w:val="single" w:color="000000" w:sz="4" w:space="0"/>
              <w:left w:val="single" w:color="000000" w:sz="4" w:space="0"/>
              <w:bottom w:val="single" w:color="000000" w:sz="4" w:space="0"/>
              <w:right w:val="single" w:color="000000" w:sz="4" w:space="0"/>
            </w:tcBorders>
            <w:vAlign w:val="center"/>
          </w:tcPr>
          <w:p w14:paraId="0D65D7F0">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根据供应商针对本项目提供的实施方案进行综合评审，包括但不限于：</w:t>
            </w:r>
          </w:p>
          <w:p w14:paraId="7BDF2502">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①XXXX； </w:t>
            </w:r>
          </w:p>
          <w:p w14:paraId="230A225D">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②XXXX； </w:t>
            </w:r>
          </w:p>
          <w:p w14:paraId="25B013DB">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③XXXX； </w:t>
            </w:r>
          </w:p>
          <w:p w14:paraId="705D8CAE">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 </w:t>
            </w:r>
          </w:p>
          <w:p w14:paraId="23C421EA">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（1）以上 X 项内容，每提供一项得 X 分，最多得 X 分；（2）以上内容中每有一处脱离实际或缺陷或错误等因素的扣 X 分（建议按得分减半设置扣分分值），扣完为止。 </w:t>
            </w:r>
          </w:p>
          <w:p w14:paraId="1B8956A5">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注：每有一处脱离实际或缺陷或错误等因素是指项目名称/服务内容及要求/实施地点/涉及的规范/标准与本项目要求不一致；技术环节漏缺项；实施流程漏缺项；套用其他项目方案或引用的标准错误或失时或存在与本项目无关的内容；方案内容与项目实际需求相违背；方案内容仅有标题或框架无具体说明阐述等任一一种情形。</w:t>
            </w:r>
          </w:p>
        </w:tc>
        <w:tc>
          <w:tcPr>
            <w:tcW w:w="510" w:type="pct"/>
            <w:tcBorders>
              <w:top w:val="single" w:color="000000" w:sz="4" w:space="0"/>
              <w:left w:val="single" w:color="000000" w:sz="4" w:space="0"/>
              <w:bottom w:val="single" w:color="000000" w:sz="4" w:space="0"/>
              <w:right w:val="single" w:color="000000" w:sz="4" w:space="0"/>
            </w:tcBorders>
            <w:vAlign w:val="center"/>
          </w:tcPr>
          <w:p w14:paraId="688668B8">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w:t>
            </w:r>
          </w:p>
          <w:p w14:paraId="6D7FF86C">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□主观</w:t>
            </w:r>
          </w:p>
        </w:tc>
      </w:tr>
      <w:tr w14:paraId="5F38AA9E">
        <w:tblPrEx>
          <w:tblCellMar>
            <w:top w:w="0" w:type="dxa"/>
            <w:left w:w="108" w:type="dxa"/>
            <w:bottom w:w="0" w:type="dxa"/>
            <w:right w:w="108" w:type="dxa"/>
          </w:tblCellMar>
        </w:tblPrEx>
        <w:trPr>
          <w:trHeight w:val="1000"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058B2BE5">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售后服务方案及售后服务能力</w:t>
            </w:r>
          </w:p>
        </w:tc>
        <w:tc>
          <w:tcPr>
            <w:tcW w:w="400" w:type="pct"/>
            <w:tcBorders>
              <w:top w:val="single" w:color="000000" w:sz="4" w:space="0"/>
              <w:left w:val="single" w:color="000000" w:sz="4" w:space="0"/>
              <w:bottom w:val="single" w:color="000000" w:sz="4" w:space="0"/>
              <w:right w:val="single" w:color="000000" w:sz="4" w:space="0"/>
            </w:tcBorders>
            <w:vAlign w:val="center"/>
          </w:tcPr>
          <w:p w14:paraId="79693D3C">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X分</w:t>
            </w:r>
          </w:p>
        </w:tc>
        <w:tc>
          <w:tcPr>
            <w:tcW w:w="3450" w:type="pct"/>
            <w:tcBorders>
              <w:top w:val="single" w:color="000000" w:sz="4" w:space="0"/>
              <w:left w:val="single" w:color="000000" w:sz="4" w:space="0"/>
              <w:bottom w:val="single" w:color="000000" w:sz="4" w:space="0"/>
              <w:right w:val="single" w:color="000000" w:sz="4" w:space="0"/>
            </w:tcBorders>
            <w:vAlign w:val="center"/>
          </w:tcPr>
          <w:p w14:paraId="536F5856">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根据供应商针对本项目提供的售后服务方案进行综合评审，包括但不限于：</w:t>
            </w:r>
          </w:p>
          <w:p w14:paraId="1513EE46">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①XXXX； </w:t>
            </w:r>
          </w:p>
          <w:p w14:paraId="4965A62A">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②XXXX； </w:t>
            </w:r>
          </w:p>
          <w:p w14:paraId="1DFAC304">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③XXXX；</w:t>
            </w:r>
          </w:p>
          <w:p w14:paraId="4C0E2716">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 </w:t>
            </w:r>
          </w:p>
          <w:p w14:paraId="63895E0A">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 xml:space="preserve">（1）以上 X 项内容，每提供一项得 X 分，最多得 X 分；（2）以上内容中每有一处脱离实际或缺陷或错误等因素的扣 X 分（建议按得分减半设置扣分分值），扣完为止。 </w:t>
            </w:r>
          </w:p>
          <w:p w14:paraId="564037B4">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注：每有一处脱离实际或缺陷或错误等因素是指项目名称/服务内容及要求/实施地点/涉及的规范/标准与本项目要求不一致；技术环节漏缺项；实施流程漏缺项；套用其他项目方案或引用的标准错误或失时或存在与本项目无关的内容；方案内容与项目实际需求相违背；方案内容仅有标题或框架无具体说明阐述等任一一种情形。</w:t>
            </w:r>
          </w:p>
        </w:tc>
        <w:tc>
          <w:tcPr>
            <w:tcW w:w="510" w:type="pct"/>
            <w:tcBorders>
              <w:top w:val="single" w:color="000000" w:sz="4" w:space="0"/>
              <w:left w:val="single" w:color="000000" w:sz="4" w:space="0"/>
              <w:bottom w:val="single" w:color="000000" w:sz="4" w:space="0"/>
              <w:right w:val="single" w:color="000000" w:sz="4" w:space="0"/>
            </w:tcBorders>
            <w:vAlign w:val="center"/>
          </w:tcPr>
          <w:p w14:paraId="6E400209">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w:t>
            </w:r>
          </w:p>
          <w:p w14:paraId="57CCCD21">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□主观</w:t>
            </w:r>
          </w:p>
        </w:tc>
      </w:tr>
      <w:tr w14:paraId="6F64CFAC">
        <w:tblPrEx>
          <w:tblCellMar>
            <w:top w:w="0" w:type="dxa"/>
            <w:left w:w="108" w:type="dxa"/>
            <w:bottom w:w="0" w:type="dxa"/>
            <w:right w:w="108" w:type="dxa"/>
          </w:tblCellMar>
        </w:tblPrEx>
        <w:trPr>
          <w:trHeight w:val="1000" w:hRule="atLeast"/>
          <w:jc w:val="center"/>
        </w:trPr>
        <w:tc>
          <w:tcPr>
            <w:tcW w:w="640" w:type="pct"/>
            <w:tcBorders>
              <w:top w:val="single" w:color="000000" w:sz="4" w:space="0"/>
              <w:left w:val="single" w:color="000000" w:sz="4" w:space="0"/>
              <w:bottom w:val="single" w:color="000000" w:sz="4" w:space="0"/>
              <w:right w:val="single" w:color="000000" w:sz="4" w:space="0"/>
            </w:tcBorders>
            <w:vAlign w:val="center"/>
          </w:tcPr>
          <w:p w14:paraId="41AC7EB6">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履约能力</w:t>
            </w:r>
          </w:p>
        </w:tc>
        <w:tc>
          <w:tcPr>
            <w:tcW w:w="400" w:type="pct"/>
            <w:tcBorders>
              <w:top w:val="single" w:color="000000" w:sz="4" w:space="0"/>
              <w:left w:val="single" w:color="000000" w:sz="4" w:space="0"/>
              <w:bottom w:val="single" w:color="000000" w:sz="4" w:space="0"/>
              <w:right w:val="single" w:color="000000" w:sz="4" w:space="0"/>
            </w:tcBorders>
            <w:vAlign w:val="center"/>
          </w:tcPr>
          <w:p w14:paraId="4745CE66">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X分</w:t>
            </w:r>
          </w:p>
        </w:tc>
        <w:tc>
          <w:tcPr>
            <w:tcW w:w="3450" w:type="pct"/>
            <w:tcBorders>
              <w:top w:val="single" w:color="000000" w:sz="4" w:space="0"/>
              <w:left w:val="single" w:color="000000" w:sz="4" w:space="0"/>
              <w:bottom w:val="single" w:color="000000" w:sz="4" w:space="0"/>
              <w:right w:val="single" w:color="000000" w:sz="4" w:space="0"/>
            </w:tcBorders>
            <w:vAlign w:val="center"/>
          </w:tcPr>
          <w:p w14:paraId="7F0461F8">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供应商提供近三年【近三年是指自20XX年1月1日起至投标（响应）文件提交截止时间前】（以合同签订时间为准）的类似本项目合同业绩，每提供一个得 X 分，最多得 X 分，未提供不得分。</w:t>
            </w:r>
            <w:r>
              <w:rPr>
                <w:rFonts w:ascii="仿宋" w:hAnsi="仿宋" w:eastAsia="仿宋" w:cs="宋体"/>
                <w:kern w:val="0"/>
                <w:szCs w:val="21"/>
                <w:lang w:bidi="ar"/>
              </w:rPr>
              <w:t>（建议不超过两个）</w:t>
            </w:r>
          </w:p>
          <w:p w14:paraId="5807334A">
            <w:pPr>
              <w:widowControl/>
              <w:spacing w:line="300" w:lineRule="exact"/>
              <w:jc w:val="left"/>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注:投标（响应）时提供合同全本影印件并加盖供应商公章。</w:t>
            </w:r>
          </w:p>
        </w:tc>
        <w:tc>
          <w:tcPr>
            <w:tcW w:w="510" w:type="pct"/>
            <w:tcBorders>
              <w:top w:val="single" w:color="000000" w:sz="4" w:space="0"/>
              <w:left w:val="single" w:color="000000" w:sz="4" w:space="0"/>
              <w:bottom w:val="single" w:color="000000" w:sz="4" w:space="0"/>
              <w:right w:val="single" w:color="000000" w:sz="4" w:space="0"/>
            </w:tcBorders>
            <w:vAlign w:val="center"/>
          </w:tcPr>
          <w:p w14:paraId="2B72789A">
            <w:pPr>
              <w:widowControl/>
              <w:spacing w:line="300" w:lineRule="exact"/>
              <w:jc w:val="center"/>
              <w:textAlignment w:val="center"/>
              <w:rPr>
                <w:rFonts w:hint="eastAsia" w:ascii="仿宋" w:hAnsi="仿宋" w:eastAsia="仿宋" w:cs="宋体"/>
                <w:kern w:val="0"/>
                <w:szCs w:val="21"/>
                <w:lang w:bidi="ar"/>
              </w:rPr>
            </w:pPr>
            <w:r>
              <w:rPr>
                <w:rFonts w:hint="eastAsia" w:ascii="仿宋" w:hAnsi="仿宋" w:eastAsia="仿宋" w:cs="宋体"/>
                <w:kern w:val="0"/>
                <w:szCs w:val="21"/>
                <w:lang w:bidi="ar"/>
              </w:rPr>
              <w:t>客观</w:t>
            </w:r>
          </w:p>
        </w:tc>
      </w:tr>
    </w:tbl>
    <w:p w14:paraId="1A36F9FA">
      <w:pPr>
        <w:spacing w:line="300" w:lineRule="exact"/>
        <w:ind w:firstLine="500" w:firstLineChars="200"/>
        <w:jc w:val="left"/>
        <w:rPr>
          <w:rFonts w:hint="eastAsia" w:ascii="仿宋" w:hAnsi="仿宋" w:eastAsia="仿宋" w:cs="仿宋_GB2312"/>
          <w:spacing w:val="20"/>
          <w:szCs w:val="21"/>
        </w:rPr>
      </w:pPr>
    </w:p>
    <w:p w14:paraId="17BD2F57">
      <w:pPr>
        <w:spacing w:line="300" w:lineRule="exact"/>
        <w:ind w:firstLine="500" w:firstLineChars="200"/>
        <w:jc w:val="left"/>
        <w:rPr>
          <w:rFonts w:hint="eastAsia" w:ascii="仿宋" w:hAnsi="仿宋" w:eastAsia="仿宋" w:cs="仿宋_GB2312"/>
          <w:spacing w:val="20"/>
          <w:szCs w:val="21"/>
        </w:rPr>
      </w:pPr>
    </w:p>
    <w:p w14:paraId="7B88EB6D">
      <w:pPr>
        <w:pStyle w:val="10"/>
        <w:spacing w:line="300" w:lineRule="exact"/>
        <w:ind w:firstLine="500" w:firstLineChars="200"/>
        <w:jc w:val="left"/>
        <w:rPr>
          <w:rFonts w:hint="eastAsia" w:ascii="仿宋" w:hAnsi="仿宋" w:eastAsia="仿宋" w:cs="仿宋_GB2312"/>
          <w:spacing w:val="20"/>
          <w:szCs w:val="21"/>
        </w:rPr>
      </w:pPr>
    </w:p>
    <w:p w14:paraId="714F3433">
      <w:pPr>
        <w:pStyle w:val="2"/>
        <w:numPr>
          <w:ilvl w:val="0"/>
          <w:numId w:val="1"/>
        </w:numPr>
        <w:spacing w:line="300" w:lineRule="exact"/>
        <w:ind w:firstLine="500" w:firstLineChars="200"/>
        <w:jc w:val="left"/>
        <w:rPr>
          <w:rFonts w:hint="eastAsia" w:ascii="楷体" w:hAnsi="楷体" w:eastAsia="楷体" w:cs="仿宋"/>
          <w:b w:val="0"/>
          <w:bCs/>
          <w:spacing w:val="20"/>
          <w:sz w:val="21"/>
          <w:szCs w:val="21"/>
        </w:rPr>
      </w:pPr>
      <w:r>
        <w:rPr>
          <w:rFonts w:hint="eastAsia" w:ascii="楷体" w:hAnsi="楷体" w:eastAsia="楷体"/>
          <w:b w:val="0"/>
          <w:bCs/>
          <w:spacing w:val="20"/>
          <w:sz w:val="21"/>
          <w:szCs w:val="21"/>
        </w:rPr>
        <w:t>供应商特殊资格条件</w:t>
      </w:r>
      <w:r>
        <w:rPr>
          <w:rFonts w:hint="eastAsia" w:ascii="仿宋" w:hAnsi="仿宋" w:eastAsia="仿宋"/>
          <w:b w:val="0"/>
          <w:bCs/>
          <w:spacing w:val="20"/>
          <w:sz w:val="21"/>
          <w:szCs w:val="21"/>
        </w:rPr>
        <w:t>（</w:t>
      </w:r>
      <w:r>
        <w:rPr>
          <w:rFonts w:hint="eastAsia" w:ascii="仿宋" w:hAnsi="仿宋" w:eastAsia="仿宋" w:cs="仿宋"/>
          <w:b w:val="0"/>
          <w:bCs/>
          <w:spacing w:val="20"/>
          <w:sz w:val="21"/>
          <w:szCs w:val="21"/>
        </w:rPr>
        <w:t>如有特殊资格要求，请列明具体要求）</w:t>
      </w:r>
    </w:p>
    <w:tbl>
      <w:tblPr>
        <w:tblStyle w:val="15"/>
        <w:tblW w:w="9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9"/>
        <w:gridCol w:w="5376"/>
      </w:tblGrid>
      <w:tr w14:paraId="6044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9" w:type="dxa"/>
            <w:vAlign w:val="center"/>
          </w:tcPr>
          <w:p w14:paraId="3FA9E3C4">
            <w:pPr>
              <w:spacing w:line="300" w:lineRule="exact"/>
              <w:ind w:firstLine="420" w:firstLineChars="200"/>
              <w:jc w:val="center"/>
              <w:rPr>
                <w:rFonts w:hint="eastAsia" w:ascii="仿宋" w:hAnsi="仿宋" w:eastAsia="仿宋" w:cs="仿宋"/>
                <w:szCs w:val="21"/>
              </w:rPr>
            </w:pPr>
            <w:r>
              <w:rPr>
                <w:rFonts w:hint="eastAsia" w:ascii="仿宋" w:hAnsi="仿宋" w:eastAsia="仿宋" w:cs="仿宋"/>
                <w:szCs w:val="21"/>
              </w:rPr>
              <w:t>资格要求名称</w:t>
            </w:r>
          </w:p>
        </w:tc>
        <w:tc>
          <w:tcPr>
            <w:tcW w:w="5376" w:type="dxa"/>
            <w:vAlign w:val="center"/>
          </w:tcPr>
          <w:p w14:paraId="7BC7885A">
            <w:pPr>
              <w:spacing w:line="300" w:lineRule="exact"/>
              <w:ind w:firstLine="420" w:firstLineChars="200"/>
              <w:jc w:val="center"/>
              <w:rPr>
                <w:rFonts w:hint="eastAsia" w:ascii="仿宋" w:hAnsi="仿宋" w:eastAsia="仿宋" w:cs="仿宋"/>
                <w:szCs w:val="21"/>
              </w:rPr>
            </w:pPr>
            <w:r>
              <w:rPr>
                <w:rFonts w:hint="eastAsia" w:ascii="仿宋" w:hAnsi="仿宋" w:eastAsia="仿宋" w:cs="仿宋"/>
                <w:szCs w:val="21"/>
              </w:rPr>
              <w:t>资格要求详细说明</w:t>
            </w:r>
          </w:p>
        </w:tc>
      </w:tr>
      <w:tr w14:paraId="13435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9" w:type="dxa"/>
            <w:vAlign w:val="center"/>
          </w:tcPr>
          <w:p w14:paraId="410BB4F7">
            <w:pPr>
              <w:spacing w:line="300" w:lineRule="exact"/>
              <w:ind w:firstLine="420" w:firstLineChars="200"/>
              <w:jc w:val="left"/>
              <w:rPr>
                <w:rFonts w:hint="eastAsia" w:ascii="仿宋" w:hAnsi="仿宋" w:eastAsia="仿宋" w:cs="仿宋"/>
                <w:szCs w:val="21"/>
              </w:rPr>
            </w:pPr>
          </w:p>
        </w:tc>
        <w:tc>
          <w:tcPr>
            <w:tcW w:w="5376" w:type="dxa"/>
            <w:vAlign w:val="center"/>
          </w:tcPr>
          <w:p w14:paraId="70FA01BE">
            <w:pPr>
              <w:spacing w:line="300" w:lineRule="exact"/>
              <w:ind w:firstLine="420" w:firstLineChars="200"/>
              <w:jc w:val="left"/>
              <w:rPr>
                <w:rFonts w:hint="eastAsia" w:ascii="仿宋" w:hAnsi="仿宋" w:eastAsia="仿宋" w:cs="仿宋"/>
                <w:szCs w:val="21"/>
              </w:rPr>
            </w:pPr>
          </w:p>
        </w:tc>
      </w:tr>
    </w:tbl>
    <w:p w14:paraId="440AFF02">
      <w:pPr>
        <w:spacing w:line="300" w:lineRule="exact"/>
        <w:ind w:firstLine="420" w:firstLineChars="200"/>
        <w:jc w:val="left"/>
        <w:rPr>
          <w:rFonts w:hint="eastAsia" w:ascii="仿宋" w:hAnsi="仿宋" w:eastAsia="仿宋"/>
          <w:szCs w:val="21"/>
        </w:rPr>
      </w:pPr>
    </w:p>
    <w:p w14:paraId="7FBAC6C8">
      <w:pPr>
        <w:spacing w:line="300" w:lineRule="exact"/>
        <w:ind w:firstLine="500" w:firstLineChars="200"/>
        <w:jc w:val="left"/>
        <w:rPr>
          <w:rFonts w:hint="eastAsia" w:ascii="楷体" w:hAnsi="楷体" w:eastAsia="楷体"/>
          <w:bCs/>
          <w:spacing w:val="20"/>
          <w:szCs w:val="21"/>
        </w:rPr>
      </w:pPr>
      <w:r>
        <w:rPr>
          <w:rFonts w:hint="eastAsia" w:ascii="楷体" w:hAnsi="楷体" w:eastAsia="楷体"/>
          <w:bCs/>
          <w:spacing w:val="20"/>
          <w:szCs w:val="21"/>
        </w:rPr>
        <w:t>★</w:t>
      </w:r>
      <w:r>
        <w:rPr>
          <w:rFonts w:ascii="楷体" w:hAnsi="楷体" w:eastAsia="楷体"/>
          <w:bCs/>
          <w:spacing w:val="20"/>
          <w:szCs w:val="21"/>
        </w:rPr>
        <w:t>4</w:t>
      </w:r>
      <w:r>
        <w:rPr>
          <w:rFonts w:hint="eastAsia" w:ascii="楷体" w:hAnsi="楷体" w:eastAsia="楷体"/>
          <w:bCs/>
          <w:spacing w:val="20"/>
          <w:szCs w:val="21"/>
        </w:rPr>
        <w:t>、合同管理安排</w:t>
      </w: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1374"/>
        <w:gridCol w:w="6693"/>
      </w:tblGrid>
      <w:tr w14:paraId="59D0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jc w:val="center"/>
        </w:trPr>
        <w:tc>
          <w:tcPr>
            <w:tcW w:w="543" w:type="pct"/>
            <w:vAlign w:val="center"/>
          </w:tcPr>
          <w:p w14:paraId="3B68D51A">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序号</w:t>
            </w:r>
          </w:p>
        </w:tc>
        <w:tc>
          <w:tcPr>
            <w:tcW w:w="759" w:type="pct"/>
            <w:vAlign w:val="center"/>
          </w:tcPr>
          <w:p w14:paraId="3FC41665">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名称</w:t>
            </w:r>
          </w:p>
        </w:tc>
        <w:tc>
          <w:tcPr>
            <w:tcW w:w="3698" w:type="pct"/>
            <w:vAlign w:val="center"/>
          </w:tcPr>
          <w:p w14:paraId="609BF343">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具体内容和要求</w:t>
            </w:r>
          </w:p>
        </w:tc>
      </w:tr>
      <w:tr w14:paraId="219B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230C8A43">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w:t>
            </w:r>
          </w:p>
        </w:tc>
        <w:tc>
          <w:tcPr>
            <w:tcW w:w="759" w:type="pct"/>
            <w:vAlign w:val="center"/>
          </w:tcPr>
          <w:p w14:paraId="3320FC97">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合同类型</w:t>
            </w:r>
          </w:p>
        </w:tc>
        <w:tc>
          <w:tcPr>
            <w:tcW w:w="3698" w:type="pct"/>
            <w:vAlign w:val="center"/>
          </w:tcPr>
          <w:p w14:paraId="502C69CA">
            <w:pPr>
              <w:widowControl/>
              <w:shd w:val="clear" w:color="auto" w:fill="FFFFFF"/>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□买卖合同</w:t>
            </w:r>
          </w:p>
          <w:p w14:paraId="1386F4F1">
            <w:pPr>
              <w:widowControl/>
              <w:shd w:val="clear" w:color="auto" w:fill="FFFFFF"/>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□建设工程合同</w:t>
            </w:r>
          </w:p>
          <w:p w14:paraId="3B6F6AFD">
            <w:pPr>
              <w:widowControl/>
              <w:shd w:val="clear" w:color="auto" w:fill="FFFFFF"/>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 xml:space="preserve">□物业管理合同 </w:t>
            </w:r>
          </w:p>
          <w:p w14:paraId="041B2D06">
            <w:pPr>
              <w:widowControl/>
              <w:shd w:val="clear" w:color="auto" w:fill="FFFFFF"/>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□其他合同</w:t>
            </w:r>
          </w:p>
        </w:tc>
      </w:tr>
      <w:tr w14:paraId="66B8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43" w:type="pct"/>
            <w:vAlign w:val="center"/>
          </w:tcPr>
          <w:p w14:paraId="5297EEF7">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2</w:t>
            </w:r>
          </w:p>
        </w:tc>
        <w:tc>
          <w:tcPr>
            <w:tcW w:w="759" w:type="pct"/>
            <w:vAlign w:val="center"/>
          </w:tcPr>
          <w:p w14:paraId="29B76B06">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合同定价方式</w:t>
            </w:r>
          </w:p>
        </w:tc>
        <w:tc>
          <w:tcPr>
            <w:tcW w:w="3698" w:type="pct"/>
            <w:vAlign w:val="center"/>
          </w:tcPr>
          <w:p w14:paraId="5DFAC43B">
            <w:pPr>
              <w:pStyle w:val="10"/>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□固定总价</w:t>
            </w:r>
          </w:p>
          <w:p w14:paraId="5E470C89">
            <w:pPr>
              <w:pStyle w:val="10"/>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 xml:space="preserve">□固定单价（如按实结算类）   </w:t>
            </w:r>
          </w:p>
        </w:tc>
      </w:tr>
      <w:tr w14:paraId="0615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43" w:type="pct"/>
            <w:vAlign w:val="center"/>
          </w:tcPr>
          <w:p w14:paraId="5A8241FF">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3</w:t>
            </w:r>
          </w:p>
        </w:tc>
        <w:tc>
          <w:tcPr>
            <w:tcW w:w="759" w:type="pct"/>
            <w:vAlign w:val="center"/>
          </w:tcPr>
          <w:p w14:paraId="522AAAED">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交货时间</w:t>
            </w:r>
          </w:p>
        </w:tc>
        <w:tc>
          <w:tcPr>
            <w:tcW w:w="3698" w:type="pct"/>
            <w:vAlign w:val="center"/>
          </w:tcPr>
          <w:p w14:paraId="49EC3764">
            <w:pPr>
              <w:pStyle w:val="10"/>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自合同签订之日起</w:t>
            </w:r>
            <w:r>
              <w:rPr>
                <w:rFonts w:hint="eastAsia" w:ascii="仿宋" w:hAnsi="仿宋" w:eastAsia="仿宋" w:cs="仿宋_GB2312"/>
                <w:spacing w:val="20"/>
                <w:szCs w:val="21"/>
                <w:u w:val="single"/>
              </w:rPr>
              <w:t xml:space="preserve"> （填写数字）</w:t>
            </w:r>
            <w:r>
              <w:rPr>
                <w:rFonts w:hint="eastAsia" w:ascii="仿宋" w:hAnsi="仿宋" w:eastAsia="仿宋" w:cs="仿宋_GB2312"/>
                <w:spacing w:val="20"/>
                <w:szCs w:val="21"/>
              </w:rPr>
              <w:t>日</w:t>
            </w:r>
          </w:p>
        </w:tc>
      </w:tr>
      <w:tr w14:paraId="5E91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43" w:type="pct"/>
            <w:vAlign w:val="center"/>
          </w:tcPr>
          <w:p w14:paraId="0BF54818">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4</w:t>
            </w:r>
          </w:p>
        </w:tc>
        <w:tc>
          <w:tcPr>
            <w:tcW w:w="759" w:type="pct"/>
            <w:vAlign w:val="center"/>
          </w:tcPr>
          <w:p w14:paraId="5BDB6AC1">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交货地点</w:t>
            </w:r>
          </w:p>
        </w:tc>
        <w:tc>
          <w:tcPr>
            <w:tcW w:w="3698" w:type="pct"/>
            <w:vAlign w:val="center"/>
          </w:tcPr>
          <w:p w14:paraId="0B9B4422">
            <w:pPr>
              <w:pStyle w:val="10"/>
              <w:spacing w:line="300" w:lineRule="exact"/>
              <w:jc w:val="left"/>
              <w:rPr>
                <w:rFonts w:hint="eastAsia" w:ascii="仿宋" w:hAnsi="仿宋" w:eastAsia="仿宋" w:cs="仿宋_GB2312"/>
                <w:spacing w:val="20"/>
                <w:szCs w:val="21"/>
              </w:rPr>
            </w:pPr>
            <w:r>
              <w:rPr>
                <w:rFonts w:hint="eastAsia" w:ascii="仿宋" w:hAnsi="仿宋" w:eastAsia="仿宋" w:cs="仿宋_GB2312"/>
                <w:spacing w:val="20"/>
                <w:szCs w:val="21"/>
              </w:rPr>
              <w:t>四川轻化工大学</w:t>
            </w:r>
            <w:r>
              <w:rPr>
                <w:rFonts w:hint="eastAsia" w:ascii="仿宋" w:hAnsi="仿宋" w:eastAsia="仿宋" w:cs="仿宋_GB2312"/>
                <w:spacing w:val="20"/>
                <w:szCs w:val="21"/>
                <w:u w:val="single"/>
              </w:rPr>
              <w:t xml:space="preserve">            </w:t>
            </w:r>
            <w:r>
              <w:rPr>
                <w:rFonts w:hint="eastAsia" w:ascii="仿宋" w:hAnsi="仿宋" w:eastAsia="仿宋" w:cs="仿宋_GB2312"/>
                <w:spacing w:val="20"/>
                <w:szCs w:val="21"/>
              </w:rPr>
              <w:t>校区</w:t>
            </w:r>
          </w:p>
        </w:tc>
      </w:tr>
      <w:tr w14:paraId="1BDD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70EF7D4D">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5</w:t>
            </w:r>
          </w:p>
        </w:tc>
        <w:tc>
          <w:tcPr>
            <w:tcW w:w="759" w:type="pct"/>
            <w:vAlign w:val="center"/>
          </w:tcPr>
          <w:p w14:paraId="7042AF54">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支付方式及付款进度安排</w:t>
            </w:r>
          </w:p>
        </w:tc>
        <w:tc>
          <w:tcPr>
            <w:tcW w:w="3698" w:type="pct"/>
            <w:vAlign w:val="center"/>
          </w:tcPr>
          <w:p w14:paraId="58E4921D">
            <w:pPr>
              <w:pStyle w:val="10"/>
              <w:spacing w:line="300" w:lineRule="exact"/>
              <w:ind w:firstLine="420" w:firstLineChars="200"/>
              <w:jc w:val="left"/>
              <w:rPr>
                <w:rFonts w:hint="eastAsia" w:ascii="仿宋" w:hAnsi="仿宋" w:eastAsia="仿宋" w:cs="仿宋_GB2312"/>
                <w:spacing w:val="20"/>
                <w:szCs w:val="21"/>
              </w:rPr>
            </w:pPr>
            <w:r>
              <w:rPr>
                <w:rFonts w:hint="eastAsia" w:ascii="仿宋" w:hAnsi="仿宋" w:eastAsia="仿宋" w:cs="仿宋_GB2312"/>
                <w:szCs w:val="21"/>
              </w:rPr>
              <w:t>全部货物安装调试完毕并验收合格，甲方接到乙方通知、乙方出具的合法、有效、完整的全额增值税专用发票后，达到付款条件后</w:t>
            </w:r>
            <w:r>
              <w:rPr>
                <w:rFonts w:hint="eastAsia" w:ascii="仿宋" w:hAnsi="仿宋" w:eastAsia="仿宋" w:cs="仿宋_GB2312"/>
                <w:szCs w:val="21"/>
                <w:u w:val="single"/>
              </w:rPr>
              <w:t>30日</w:t>
            </w:r>
            <w:r>
              <w:rPr>
                <w:rFonts w:hint="eastAsia" w:ascii="仿宋" w:hAnsi="仿宋" w:eastAsia="仿宋" w:cs="仿宋_GB2312"/>
                <w:szCs w:val="21"/>
              </w:rPr>
              <w:t>内，支付合同金额的</w:t>
            </w:r>
            <w:r>
              <w:rPr>
                <w:rFonts w:hint="eastAsia" w:ascii="仿宋" w:hAnsi="仿宋" w:eastAsia="仿宋" w:cs="仿宋_GB2312"/>
                <w:szCs w:val="21"/>
                <w:u w:val="single"/>
              </w:rPr>
              <w:t xml:space="preserve"> 100% </w:t>
            </w:r>
            <w:r>
              <w:rPr>
                <w:rFonts w:hint="eastAsia" w:ascii="仿宋" w:hAnsi="仿宋" w:eastAsia="仿宋" w:cs="仿宋_GB2312"/>
                <w:szCs w:val="21"/>
              </w:rPr>
              <w:t xml:space="preserve"> 。若遇甲方寒暑假、财务扎账、财政性资金结转等原因，付款时间可作适当顺延。</w:t>
            </w:r>
          </w:p>
        </w:tc>
      </w:tr>
      <w:tr w14:paraId="67D6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36550C19">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6</w:t>
            </w:r>
          </w:p>
        </w:tc>
        <w:tc>
          <w:tcPr>
            <w:tcW w:w="759" w:type="pct"/>
            <w:vAlign w:val="center"/>
          </w:tcPr>
          <w:p w14:paraId="13BCF2FD">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zCs w:val="21"/>
              </w:rPr>
              <w:t>履约保证金及缴纳形式</w:t>
            </w:r>
          </w:p>
        </w:tc>
        <w:tc>
          <w:tcPr>
            <w:tcW w:w="3698" w:type="pct"/>
            <w:vAlign w:val="center"/>
          </w:tcPr>
          <w:p w14:paraId="62CBE728">
            <w:pPr>
              <w:pStyle w:val="10"/>
              <w:spacing w:line="300" w:lineRule="exact"/>
              <w:ind w:firstLine="420" w:firstLineChars="200"/>
              <w:jc w:val="left"/>
              <w:rPr>
                <w:rFonts w:hint="eastAsia" w:ascii="仿宋" w:hAnsi="仿宋" w:eastAsia="仿宋" w:cs="仿宋_GB2312"/>
                <w:szCs w:val="21"/>
              </w:rPr>
            </w:pPr>
          </w:p>
        </w:tc>
      </w:tr>
      <w:tr w14:paraId="62AA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3C1A4874">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7</w:t>
            </w:r>
          </w:p>
        </w:tc>
        <w:tc>
          <w:tcPr>
            <w:tcW w:w="759" w:type="pct"/>
            <w:vAlign w:val="center"/>
          </w:tcPr>
          <w:p w14:paraId="28060AB7">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质量保证金及缴纳形式</w:t>
            </w:r>
          </w:p>
        </w:tc>
        <w:tc>
          <w:tcPr>
            <w:tcW w:w="3698" w:type="pct"/>
            <w:vAlign w:val="center"/>
          </w:tcPr>
          <w:p w14:paraId="759C1C48">
            <w:pPr>
              <w:pStyle w:val="10"/>
              <w:spacing w:line="300" w:lineRule="exact"/>
              <w:jc w:val="left"/>
              <w:rPr>
                <w:rFonts w:hint="eastAsia" w:ascii="仿宋" w:hAnsi="仿宋" w:eastAsia="仿宋" w:cs="仿宋_GB2312"/>
                <w:szCs w:val="21"/>
              </w:rPr>
            </w:pPr>
            <w:r>
              <w:rPr>
                <w:rFonts w:hint="eastAsia" w:ascii="仿宋" w:hAnsi="仿宋" w:eastAsia="仿宋" w:cs="仿宋_GB2312"/>
                <w:szCs w:val="21"/>
              </w:rPr>
              <w:t>（仅适用于工程）</w:t>
            </w:r>
          </w:p>
        </w:tc>
      </w:tr>
      <w:tr w14:paraId="237F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4FF5B452">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8</w:t>
            </w:r>
          </w:p>
        </w:tc>
        <w:tc>
          <w:tcPr>
            <w:tcW w:w="759" w:type="pct"/>
            <w:vAlign w:val="center"/>
          </w:tcPr>
          <w:p w14:paraId="214E7D64">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验收交付标准和方法</w:t>
            </w:r>
          </w:p>
        </w:tc>
        <w:tc>
          <w:tcPr>
            <w:tcW w:w="3698" w:type="pct"/>
            <w:vAlign w:val="center"/>
          </w:tcPr>
          <w:p w14:paraId="7CAF421B">
            <w:pPr>
              <w:pStyle w:val="10"/>
              <w:spacing w:line="300" w:lineRule="exact"/>
              <w:ind w:firstLine="420" w:firstLineChars="200"/>
              <w:jc w:val="left"/>
              <w:rPr>
                <w:rFonts w:hint="eastAsia" w:ascii="仿宋" w:hAnsi="仿宋" w:eastAsia="仿宋"/>
                <w:szCs w:val="21"/>
              </w:rPr>
            </w:pPr>
            <w:r>
              <w:rPr>
                <w:rFonts w:hint="eastAsia" w:ascii="仿宋" w:hAnsi="仿宋" w:eastAsia="仿宋"/>
                <w:szCs w:val="21"/>
              </w:rPr>
              <w:t>按照《财政部关于进一步加强政府采购需求和履约验收管理的指导意见》（财库〔2016〕205号）、《政府采购需求管理办法（财库〔2021〕22号）》、《四川轻化工大学采购项目验收管理办法（川轻化〔2020〕11号）》以及采购文件的要求、中标（成交）供应商的投标（响应）文件及承诺与合同约定的标准进行验收。</w:t>
            </w:r>
          </w:p>
        </w:tc>
      </w:tr>
      <w:tr w14:paraId="15A8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1BDC21F1">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9</w:t>
            </w:r>
          </w:p>
        </w:tc>
        <w:tc>
          <w:tcPr>
            <w:tcW w:w="759" w:type="pct"/>
            <w:vAlign w:val="center"/>
          </w:tcPr>
          <w:p w14:paraId="597E44CF">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质量保修范围和保修期</w:t>
            </w:r>
          </w:p>
        </w:tc>
        <w:tc>
          <w:tcPr>
            <w:tcW w:w="3698" w:type="pct"/>
            <w:vAlign w:val="center"/>
          </w:tcPr>
          <w:p w14:paraId="470311A9">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1.乙方应保证提供的货物完全符合合同规定的质量、规格和性能要求。乙方应保证货物在正确安装、正常使用和保养条件下，在其使用寿命期内具备合同约定的性能。存在保修期的，货物最终交付验收合格后在采购文件规定的保修期或者乙方书面承诺（两者以较长的为准）的保修期内，本保证保持有效。</w:t>
            </w:r>
          </w:p>
          <w:p w14:paraId="53ADE1A3">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2.在保修期内所发现的缺陷，甲方应尽快以书面形式通知乙方。</w:t>
            </w:r>
          </w:p>
          <w:p w14:paraId="6028BFED">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3.乙方收到通知后，应在 XX 日内以合理的速度免费维修或更换有缺陷的货物或部件。</w:t>
            </w:r>
          </w:p>
          <w:p w14:paraId="43ABFAD2">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4.在保修期内，如果货物的质量或规格与合同不符，或证实货物是有缺陷的，包括潜在的缺陷或使用不符合要求的材料等，甲方可以根据违约责任第一条规定以书面形式追究乙方的违约责任。</w:t>
            </w:r>
          </w:p>
          <w:p w14:paraId="69D629E1">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5.乙方在约定的时间内未能弥补缺陷，甲方可采取必要的补救措施，但其风险和费用将由乙方承担，甲方根据合同约定对乙方行使的其他权利不受影响。</w:t>
            </w:r>
          </w:p>
        </w:tc>
      </w:tr>
      <w:tr w14:paraId="1554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52F13FDE">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10</w:t>
            </w:r>
          </w:p>
        </w:tc>
        <w:tc>
          <w:tcPr>
            <w:tcW w:w="759" w:type="pct"/>
            <w:vAlign w:val="center"/>
          </w:tcPr>
          <w:p w14:paraId="7A64D40D">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知识产权归属和处理方式（</w:t>
            </w:r>
            <w:r>
              <w:rPr>
                <w:rFonts w:hint="eastAsia" w:ascii="仿宋" w:hAnsi="仿宋" w:eastAsia="仿宋" w:cs="仿宋_GB2312"/>
                <w:b/>
                <w:bCs/>
                <w:szCs w:val="21"/>
              </w:rPr>
              <w:t>内置模板，需求单位无需填写）</w:t>
            </w:r>
          </w:p>
        </w:tc>
        <w:tc>
          <w:tcPr>
            <w:tcW w:w="3698" w:type="pct"/>
            <w:vAlign w:val="center"/>
          </w:tcPr>
          <w:p w14:paraId="657E11C3">
            <w:pPr>
              <w:pStyle w:val="10"/>
              <w:numPr>
                <w:ilvl w:val="0"/>
                <w:numId w:val="2"/>
              </w:numPr>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投标人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35C8C0FC">
            <w:pPr>
              <w:pStyle w:val="10"/>
              <w:numPr>
                <w:ilvl w:val="0"/>
                <w:numId w:val="2"/>
              </w:numPr>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招标人享有本项目实施过程中产生的知识成果及知识产权。</w:t>
            </w:r>
          </w:p>
          <w:p w14:paraId="44B4B675">
            <w:pPr>
              <w:pStyle w:val="10"/>
              <w:numPr>
                <w:ilvl w:val="0"/>
                <w:numId w:val="2"/>
              </w:numPr>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投标人将在招标项目实施过程中采用自有或者第三方知识成果的，使用该知识成果后，投标人需提供开发接口和开发手册等技术资料，并承诺提供无限期支持，招标人享有使用权(含招标人委托第三方在该项目后续开发的使用权)。</w:t>
            </w:r>
          </w:p>
        </w:tc>
      </w:tr>
      <w:tr w14:paraId="4A0F2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77568755">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11</w:t>
            </w:r>
          </w:p>
        </w:tc>
        <w:tc>
          <w:tcPr>
            <w:tcW w:w="759" w:type="pct"/>
            <w:vAlign w:val="center"/>
          </w:tcPr>
          <w:p w14:paraId="5B006071">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成本补偿和风险分担约定</w:t>
            </w:r>
          </w:p>
        </w:tc>
        <w:tc>
          <w:tcPr>
            <w:tcW w:w="3698" w:type="pct"/>
            <w:vAlign w:val="center"/>
          </w:tcPr>
          <w:p w14:paraId="376252B9">
            <w:pPr>
              <w:pStyle w:val="10"/>
              <w:spacing w:line="300" w:lineRule="exact"/>
              <w:ind w:firstLine="420" w:firstLineChars="200"/>
              <w:jc w:val="left"/>
              <w:rPr>
                <w:rFonts w:hint="eastAsia" w:ascii="仿宋" w:hAnsi="仿宋" w:eastAsia="仿宋" w:cs="仿宋_GB2312"/>
                <w:szCs w:val="21"/>
              </w:rPr>
            </w:pPr>
          </w:p>
        </w:tc>
      </w:tr>
      <w:tr w14:paraId="15CD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28EB95EB">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12</w:t>
            </w:r>
          </w:p>
        </w:tc>
        <w:tc>
          <w:tcPr>
            <w:tcW w:w="759" w:type="pct"/>
            <w:vAlign w:val="center"/>
          </w:tcPr>
          <w:p w14:paraId="18C7D949">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违约责任</w:t>
            </w:r>
          </w:p>
        </w:tc>
        <w:tc>
          <w:tcPr>
            <w:tcW w:w="3698" w:type="pct"/>
            <w:vAlign w:val="center"/>
          </w:tcPr>
          <w:p w14:paraId="3C8481BB">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1.质量瑕疵的违约责任 </w:t>
            </w:r>
          </w:p>
          <w:p w14:paraId="1EB1BD22">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乙方提供的产品不符合合同约定的质量标准或存在产品质量缺陷，甲方有权要求乙方及时修理、重作、更换，并承担由此给甲方造成的损失。修理、重作、更换的具体要求为：</w:t>
            </w:r>
          </w:p>
          <w:p w14:paraId="23B17CD9">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1.1货物不符合约定的，甲方有权要求乙方在15日内免费修理、更换或重作，并承担因此产生的费用及损失。 </w:t>
            </w:r>
          </w:p>
          <w:p w14:paraId="6B0F4CD9">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1.2 逾期未完成整改的，甲方可解除合同，并要求乙方赔偿直接损失。 </w:t>
            </w:r>
          </w:p>
          <w:p w14:paraId="45040DA1">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2.迟延交货的违约责任</w:t>
            </w:r>
          </w:p>
          <w:p w14:paraId="478BA970">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2.1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3F00042">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2.2.如果乙方没有按照合同规定的时间交货和提供相关服务，甲方有权从货款中扣除误期赔偿费而不影响合同项下的其他补救方法，赔偿费的计算方法为：未经同意逾期交货的，乙方按日支付逾期交货部分货款万分之三的违约金，累计总额不超过该部分货款的10%；逾期超过30日，甲方有权解除合同，乙方应退还全部已收款，并支付合同总价10%的违约金。 </w:t>
            </w:r>
          </w:p>
          <w:p w14:paraId="3946C443">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3.权利瑕疵责任</w:t>
            </w:r>
          </w:p>
          <w:p w14:paraId="6AE40179">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如货物存在知识产权等权利瑕疵导致甲方无法使用或被追责，乙方应退还全部款项，支付合同总价10%违约金，并赔偿甲方全部实际损失（包括律师费、行政处罚等）。 </w:t>
            </w:r>
          </w:p>
          <w:p w14:paraId="48197591">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4.迟延支付的违约责任</w:t>
            </w:r>
          </w:p>
          <w:p w14:paraId="13C02A33">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甲方存在迟延支付乙方合同款项的，应当支付逾期付款利息，计算方法为：甲方应在验收合格后30日内完成付款，最迟不得超过60日。乙方应在甲方付款前向甲方开具合法有效的增值税专用发票，因乙方未及时提供发票导致付款延迟的，甲方不承担违约责任。甲方逾期付款的，应自逾期之日起，按日向乙方支付逾期付款金额万分之三的违约金，违约金总额不超过逾期付款金额的10%。</w:t>
            </w:r>
          </w:p>
          <w:p w14:paraId="4E1F96EE">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5.违法分包、转包的违约责任</w:t>
            </w:r>
          </w:p>
          <w:p w14:paraId="2CEE0F57">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乙方将项目转包、违法分包的，甲方可以解除合同，并要求乙方承担如下违约责任：</w:t>
            </w:r>
          </w:p>
          <w:p w14:paraId="43CF3F24">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5.1退还甲方已支付的全部款项；  </w:t>
            </w:r>
          </w:p>
          <w:p w14:paraId="00B62D4F">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5.2支付合同总价15%的违约金；  </w:t>
            </w:r>
          </w:p>
          <w:p w14:paraId="67CBF556">
            <w:pPr>
              <w:pStyle w:val="10"/>
              <w:spacing w:line="300" w:lineRule="exact"/>
              <w:ind w:firstLine="420" w:firstLineChars="200"/>
              <w:jc w:val="left"/>
              <w:rPr>
                <w:rFonts w:hint="eastAsia" w:ascii="仿宋" w:hAnsi="仿宋" w:eastAsia="仿宋" w:cs="仿宋_GB2312"/>
                <w:szCs w:val="21"/>
                <w:highlight w:val="yellow"/>
              </w:rPr>
            </w:pPr>
            <w:r>
              <w:rPr>
                <w:rFonts w:hint="eastAsia" w:ascii="仿宋" w:hAnsi="仿宋" w:eastAsia="仿宋" w:cs="仿宋_GB2312"/>
                <w:szCs w:val="21"/>
              </w:rPr>
              <w:t xml:space="preserve">5.3赔偿甲方因此遭受的实际损失（包括但不限于重新采购费用、审计整改成本、第三方索赔及律师费）。  </w:t>
            </w:r>
          </w:p>
        </w:tc>
      </w:tr>
      <w:tr w14:paraId="782D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0E80CC19">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13</w:t>
            </w:r>
          </w:p>
        </w:tc>
        <w:tc>
          <w:tcPr>
            <w:tcW w:w="759" w:type="pct"/>
            <w:vAlign w:val="center"/>
          </w:tcPr>
          <w:p w14:paraId="7E228EA1">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解决争议的方法</w:t>
            </w:r>
          </w:p>
        </w:tc>
        <w:tc>
          <w:tcPr>
            <w:tcW w:w="3698" w:type="pct"/>
            <w:vAlign w:val="center"/>
          </w:tcPr>
          <w:p w14:paraId="31AFCA40">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1.因本合同及合同有关事项发生的争议，由甲乙双方友好协商解决。协商不成时，可以向有关组织申请调解。合同一方或双方不愿调解或调解不成的，可以通过仲裁或诉讼的方式解决争议。</w:t>
            </w:r>
          </w:p>
          <w:p w14:paraId="35B021B2">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2.选择仲裁的，应在甲方所在地仲裁机构及仲裁地；通过诉讼方式解决的，向甲方所在地人民法院提请诉讼，但管辖法院的约定不得违反级别管辖和专属管辖的规定。</w:t>
            </w:r>
          </w:p>
          <w:p w14:paraId="5A281F68">
            <w:pPr>
              <w:pStyle w:val="10"/>
              <w:spacing w:line="300" w:lineRule="exact"/>
              <w:ind w:firstLine="420" w:firstLineChars="200"/>
              <w:jc w:val="left"/>
              <w:rPr>
                <w:rFonts w:hint="eastAsia" w:ascii="仿宋" w:hAnsi="仿宋" w:eastAsia="仿宋" w:cs="仿宋_GB2312"/>
                <w:szCs w:val="21"/>
              </w:rPr>
            </w:pPr>
            <w:r>
              <w:rPr>
                <w:rFonts w:hint="eastAsia" w:ascii="仿宋" w:hAnsi="仿宋" w:eastAsia="仿宋" w:cs="仿宋_GB2312"/>
                <w:szCs w:val="21"/>
              </w:rPr>
              <w:t>3.如甲乙双方有争议的事项不影响合同其他部分的履行，在争议解决期间，合同其他部分应当继续履行。</w:t>
            </w:r>
          </w:p>
        </w:tc>
      </w:tr>
      <w:tr w14:paraId="56BE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3057981B">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14</w:t>
            </w:r>
          </w:p>
        </w:tc>
        <w:tc>
          <w:tcPr>
            <w:tcW w:w="759" w:type="pct"/>
            <w:vAlign w:val="center"/>
          </w:tcPr>
          <w:p w14:paraId="143FB6D6">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合同其他条款</w:t>
            </w:r>
          </w:p>
        </w:tc>
        <w:tc>
          <w:tcPr>
            <w:tcW w:w="3698" w:type="pct"/>
            <w:vAlign w:val="center"/>
          </w:tcPr>
          <w:p w14:paraId="00FE1EC1">
            <w:pPr>
              <w:pStyle w:val="10"/>
              <w:spacing w:line="300" w:lineRule="exact"/>
              <w:ind w:firstLine="500" w:firstLineChars="200"/>
              <w:jc w:val="left"/>
              <w:rPr>
                <w:rFonts w:hint="eastAsia" w:ascii="仿宋" w:hAnsi="仿宋" w:eastAsia="仿宋" w:cs="仿宋_GB2312"/>
                <w:spacing w:val="20"/>
                <w:kern w:val="0"/>
                <w:szCs w:val="21"/>
              </w:rPr>
            </w:pPr>
            <w:r>
              <w:rPr>
                <w:rFonts w:hint="eastAsia" w:ascii="仿宋" w:hAnsi="仿宋" w:eastAsia="仿宋" w:cs="仿宋_GB2312"/>
                <w:spacing w:val="20"/>
                <w:kern w:val="0"/>
                <w:szCs w:val="21"/>
              </w:rPr>
              <w:t>（可填写安装调试、包装运输、售后服务、培训等要求、保险、需要与现有设备和系统进行配套、项目实施前置条件、知识产权或信息安全要求、特种设备使用证明、现场踏勘等与项目需求相关的其他商务要求。）</w:t>
            </w:r>
          </w:p>
        </w:tc>
      </w:tr>
      <w:tr w14:paraId="5126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791459CD">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15</w:t>
            </w:r>
          </w:p>
        </w:tc>
        <w:tc>
          <w:tcPr>
            <w:tcW w:w="759" w:type="pct"/>
            <w:vAlign w:val="center"/>
          </w:tcPr>
          <w:p w14:paraId="32083A89">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履约验收方案（内置模板，需求单位无需填写）</w:t>
            </w:r>
          </w:p>
        </w:tc>
        <w:tc>
          <w:tcPr>
            <w:tcW w:w="3698" w:type="pct"/>
            <w:vAlign w:val="center"/>
          </w:tcPr>
          <w:p w14:paraId="6B624A60">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1.验收组织方式：</w:t>
            </w:r>
            <w:r>
              <w:rPr>
                <w:rFonts w:hint="eastAsia" w:ascii="仿宋" w:hAnsi="仿宋" w:eastAsia="仿宋" w:cs="仿宋_GB2312"/>
                <w:spacing w:val="20"/>
                <w:szCs w:val="21"/>
              </w:rPr>
              <w:sym w:font="Wingdings 2" w:char="F0A3"/>
            </w:r>
            <w:r>
              <w:rPr>
                <w:rFonts w:hint="eastAsia" w:ascii="仿宋" w:hAnsi="仿宋" w:eastAsia="仿宋" w:cs="仿宋_GB2312"/>
                <w:spacing w:val="20"/>
                <w:szCs w:val="21"/>
              </w:rPr>
              <w:t xml:space="preserve">自行验收  </w:t>
            </w:r>
            <w:r>
              <w:rPr>
                <w:rFonts w:hint="eastAsia" w:ascii="仿宋" w:hAnsi="仿宋" w:eastAsia="仿宋" w:cs="仿宋_GB2312"/>
                <w:szCs w:val="21"/>
              </w:rPr>
              <w:sym w:font="Wingdings 2" w:char="F0A3"/>
            </w:r>
            <w:r>
              <w:rPr>
                <w:rFonts w:hint="eastAsia" w:ascii="仿宋" w:hAnsi="仿宋" w:eastAsia="仿宋" w:cs="仿宋_GB2312"/>
                <w:spacing w:val="20"/>
                <w:szCs w:val="21"/>
              </w:rPr>
              <w:t>委托第三方验收</w:t>
            </w:r>
          </w:p>
          <w:p w14:paraId="6346A7E6">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2.是否邀请本项目的其他供应商：</w:t>
            </w:r>
            <w:r>
              <w:rPr>
                <w:rFonts w:hint="eastAsia" w:ascii="仿宋" w:hAnsi="仿宋" w:eastAsia="仿宋" w:cs="仿宋_GB2312"/>
                <w:szCs w:val="21"/>
              </w:rPr>
              <w:sym w:font="Wingdings 2" w:char="F0A3"/>
            </w:r>
            <w:r>
              <w:rPr>
                <w:rFonts w:hint="eastAsia" w:ascii="仿宋" w:hAnsi="仿宋" w:eastAsia="仿宋" w:cs="仿宋_GB2312"/>
                <w:spacing w:val="20"/>
                <w:szCs w:val="21"/>
              </w:rPr>
              <w:t xml:space="preserve">是  </w:t>
            </w:r>
            <w:r>
              <w:rPr>
                <w:rFonts w:hint="eastAsia" w:ascii="仿宋" w:hAnsi="仿宋" w:eastAsia="仿宋" w:cs="仿宋_GB2312"/>
                <w:szCs w:val="21"/>
              </w:rPr>
              <w:sym w:font="Wingdings 2" w:char="0052"/>
            </w:r>
            <w:r>
              <w:rPr>
                <w:rFonts w:hint="eastAsia" w:ascii="仿宋" w:hAnsi="仿宋" w:eastAsia="仿宋" w:cs="仿宋_GB2312"/>
                <w:spacing w:val="20"/>
                <w:szCs w:val="21"/>
              </w:rPr>
              <w:t>否</w:t>
            </w:r>
          </w:p>
          <w:p w14:paraId="4A8845D2">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3.是否邀请专家：</w:t>
            </w:r>
            <w:r>
              <w:rPr>
                <w:rFonts w:hint="eastAsia" w:ascii="仿宋" w:hAnsi="仿宋" w:eastAsia="仿宋" w:cs="仿宋_GB2312"/>
                <w:szCs w:val="21"/>
              </w:rPr>
              <w:sym w:font="Wingdings 2" w:char="F0A3"/>
            </w:r>
            <w:r>
              <w:rPr>
                <w:rFonts w:hint="eastAsia" w:ascii="仿宋" w:hAnsi="仿宋" w:eastAsia="仿宋" w:cs="仿宋_GB2312"/>
                <w:spacing w:val="20"/>
                <w:szCs w:val="21"/>
              </w:rPr>
              <w:t xml:space="preserve">是  </w:t>
            </w:r>
            <w:r>
              <w:rPr>
                <w:rFonts w:hint="eastAsia" w:ascii="仿宋" w:hAnsi="仿宋" w:eastAsia="仿宋" w:cs="仿宋_GB2312"/>
                <w:szCs w:val="21"/>
              </w:rPr>
              <w:sym w:font="Wingdings 2" w:char="F0A3"/>
            </w:r>
            <w:r>
              <w:rPr>
                <w:rFonts w:hint="eastAsia" w:ascii="仿宋" w:hAnsi="仿宋" w:eastAsia="仿宋" w:cs="仿宋_GB2312"/>
                <w:spacing w:val="20"/>
                <w:szCs w:val="21"/>
              </w:rPr>
              <w:t>否</w:t>
            </w:r>
          </w:p>
          <w:p w14:paraId="3E5D7414">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4.是否邀请服务对象：</w:t>
            </w:r>
            <w:r>
              <w:rPr>
                <w:rFonts w:hint="eastAsia" w:ascii="仿宋" w:hAnsi="仿宋" w:eastAsia="仿宋" w:cs="仿宋_GB2312"/>
                <w:szCs w:val="21"/>
              </w:rPr>
              <w:sym w:font="Wingdings 2" w:char="F0A3"/>
            </w:r>
            <w:r>
              <w:rPr>
                <w:rFonts w:hint="eastAsia" w:ascii="仿宋" w:hAnsi="仿宋" w:eastAsia="仿宋" w:cs="仿宋_GB2312"/>
                <w:spacing w:val="20"/>
                <w:szCs w:val="21"/>
              </w:rPr>
              <w:t xml:space="preserve">是  </w:t>
            </w:r>
            <w:r>
              <w:rPr>
                <w:rFonts w:hint="eastAsia" w:ascii="仿宋" w:hAnsi="仿宋" w:eastAsia="仿宋" w:cs="仿宋_GB2312"/>
                <w:szCs w:val="21"/>
              </w:rPr>
              <w:sym w:font="Wingdings 2" w:char="F0A3"/>
            </w:r>
            <w:r>
              <w:rPr>
                <w:rFonts w:hint="eastAsia" w:ascii="仿宋" w:hAnsi="仿宋" w:eastAsia="仿宋" w:cs="仿宋_GB2312"/>
                <w:spacing w:val="20"/>
                <w:szCs w:val="21"/>
              </w:rPr>
              <w:t>否</w:t>
            </w:r>
          </w:p>
          <w:p w14:paraId="52F67D5C">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5.是否邀请第三方检测机构：</w:t>
            </w:r>
            <w:r>
              <w:rPr>
                <w:rFonts w:hint="eastAsia" w:ascii="仿宋" w:hAnsi="仿宋" w:eastAsia="仿宋" w:cs="仿宋_GB2312"/>
                <w:szCs w:val="21"/>
              </w:rPr>
              <w:sym w:font="Wingdings 2" w:char="F0A3"/>
            </w:r>
            <w:r>
              <w:rPr>
                <w:rFonts w:hint="eastAsia" w:ascii="仿宋" w:hAnsi="仿宋" w:eastAsia="仿宋" w:cs="仿宋_GB2312"/>
                <w:spacing w:val="20"/>
                <w:szCs w:val="21"/>
              </w:rPr>
              <w:t xml:space="preserve">是  </w:t>
            </w:r>
            <w:r>
              <w:rPr>
                <w:rFonts w:hint="eastAsia" w:ascii="仿宋" w:hAnsi="仿宋" w:eastAsia="仿宋" w:cs="仿宋_GB2312"/>
                <w:szCs w:val="21"/>
              </w:rPr>
              <w:sym w:font="Wingdings 2" w:char="F0A3"/>
            </w:r>
            <w:r>
              <w:rPr>
                <w:rFonts w:hint="eastAsia" w:ascii="仿宋" w:hAnsi="仿宋" w:eastAsia="仿宋" w:cs="仿宋_GB2312"/>
                <w:spacing w:val="20"/>
                <w:szCs w:val="21"/>
              </w:rPr>
              <w:t>否</w:t>
            </w:r>
          </w:p>
          <w:p w14:paraId="424D51C6">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6.履约验收程序：</w:t>
            </w:r>
            <w:r>
              <w:rPr>
                <w:rFonts w:hint="eastAsia" w:ascii="仿宋" w:hAnsi="仿宋" w:eastAsia="仿宋" w:cs="仿宋_GB2312"/>
                <w:spacing w:val="20"/>
                <w:szCs w:val="21"/>
              </w:rPr>
              <w:t>到货验收、技术验收及综合验收</w:t>
            </w:r>
          </w:p>
          <w:p w14:paraId="5BF7B674">
            <w:pPr>
              <w:spacing w:line="300" w:lineRule="exact"/>
              <w:jc w:val="left"/>
              <w:rPr>
                <w:rFonts w:hint="eastAsia" w:ascii="仿宋" w:hAnsi="仿宋" w:eastAsia="仿宋" w:cs="仿宋_GB2312"/>
                <w:szCs w:val="21"/>
              </w:rPr>
            </w:pPr>
            <w:r>
              <w:rPr>
                <w:rFonts w:hint="eastAsia" w:ascii="仿宋" w:hAnsi="仿宋" w:eastAsia="仿宋" w:cs="仿宋_GB2312"/>
                <w:b/>
                <w:bCs/>
                <w:spacing w:val="20"/>
                <w:szCs w:val="21"/>
              </w:rPr>
              <w:t>7.履约验收时间：</w:t>
            </w:r>
            <w:r>
              <w:rPr>
                <w:rFonts w:hint="eastAsia" w:ascii="仿宋" w:hAnsi="仿宋" w:eastAsia="仿宋" w:cs="仿宋_GB2312"/>
                <w:szCs w:val="21"/>
              </w:rPr>
              <w:t>中标人提出验收申请之日起</w:t>
            </w:r>
            <w:r>
              <w:rPr>
                <w:rFonts w:ascii="Calibri" w:hAnsi="Calibri" w:eastAsia="仿宋" w:cs="Calibri"/>
                <w:szCs w:val="21"/>
              </w:rPr>
              <w:t> </w:t>
            </w:r>
            <w:r>
              <w:rPr>
                <w:rFonts w:hint="eastAsia" w:ascii="仿宋" w:hAnsi="仿宋" w:eastAsia="仿宋" w:cs="仿宋_GB2312"/>
                <w:szCs w:val="21"/>
              </w:rPr>
              <w:t>，达到验收条件起</w:t>
            </w:r>
            <w:r>
              <w:rPr>
                <w:rFonts w:ascii="Calibri" w:hAnsi="Calibri" w:eastAsia="仿宋" w:cs="Calibri"/>
                <w:szCs w:val="21"/>
              </w:rPr>
              <w:t> </w:t>
            </w:r>
            <w:r>
              <w:rPr>
                <w:rFonts w:hint="eastAsia" w:ascii="仿宋" w:hAnsi="仿宋" w:eastAsia="仿宋" w:cs="仿宋_GB2312"/>
                <w:szCs w:val="21"/>
              </w:rPr>
              <w:t>10</w:t>
            </w:r>
            <w:r>
              <w:rPr>
                <w:rFonts w:ascii="Calibri" w:hAnsi="Calibri" w:eastAsia="仿宋" w:cs="Calibri"/>
                <w:szCs w:val="21"/>
              </w:rPr>
              <w:t> </w:t>
            </w:r>
            <w:r>
              <w:rPr>
                <w:rFonts w:hint="eastAsia" w:ascii="仿宋" w:hAnsi="仿宋" w:eastAsia="仿宋" w:cs="仿宋_GB2312"/>
                <w:szCs w:val="21"/>
              </w:rPr>
              <w:t>日内，验收合同总金额的</w:t>
            </w:r>
            <w:r>
              <w:rPr>
                <w:rFonts w:ascii="Calibri" w:hAnsi="Calibri" w:eastAsia="仿宋" w:cs="Calibri"/>
                <w:szCs w:val="21"/>
              </w:rPr>
              <w:t> </w:t>
            </w:r>
            <w:r>
              <w:rPr>
                <w:rFonts w:hint="eastAsia" w:ascii="仿宋" w:hAnsi="仿宋" w:eastAsia="仿宋" w:cs="仿宋_GB2312"/>
                <w:szCs w:val="21"/>
              </w:rPr>
              <w:t>100%；</w:t>
            </w:r>
          </w:p>
          <w:p w14:paraId="12E585AD">
            <w:pPr>
              <w:spacing w:line="300" w:lineRule="exact"/>
              <w:jc w:val="left"/>
              <w:rPr>
                <w:rFonts w:hint="eastAsia" w:ascii="仿宋" w:hAnsi="仿宋" w:eastAsia="仿宋" w:cs="仿宋_GB2312"/>
                <w:spacing w:val="20"/>
                <w:szCs w:val="21"/>
              </w:rPr>
            </w:pPr>
            <w:r>
              <w:rPr>
                <w:rFonts w:hint="eastAsia" w:ascii="仿宋" w:hAnsi="仿宋" w:eastAsia="仿宋" w:cs="仿宋_GB2312"/>
                <w:b/>
                <w:bCs/>
                <w:spacing w:val="20"/>
                <w:szCs w:val="21"/>
              </w:rPr>
              <w:t>8.验收组织的其他事项：</w:t>
            </w:r>
            <w:r>
              <w:rPr>
                <w:rFonts w:hint="eastAsia" w:ascii="仿宋" w:hAnsi="仿宋" w:eastAsia="仿宋" w:cs="仿宋_GB2312"/>
                <w:spacing w:val="20"/>
                <w:szCs w:val="21"/>
              </w:rPr>
              <w:t>对投标人提供的货物完整性、功能性以及其他商务内容进行验收。</w:t>
            </w:r>
          </w:p>
          <w:p w14:paraId="62B17867">
            <w:pPr>
              <w:spacing w:line="300" w:lineRule="exact"/>
              <w:jc w:val="left"/>
              <w:rPr>
                <w:rFonts w:hint="eastAsia" w:ascii="仿宋" w:hAnsi="仿宋" w:eastAsia="仿宋" w:cs="仿宋_GB2312"/>
                <w:spacing w:val="20"/>
                <w:kern w:val="0"/>
                <w:szCs w:val="21"/>
              </w:rPr>
            </w:pPr>
            <w:r>
              <w:rPr>
                <w:rFonts w:hint="eastAsia" w:ascii="仿宋" w:hAnsi="仿宋" w:eastAsia="仿宋" w:cs="仿宋_GB2312"/>
                <w:b/>
                <w:bCs/>
                <w:spacing w:val="20"/>
                <w:kern w:val="0"/>
                <w:szCs w:val="21"/>
              </w:rPr>
              <w:t>9.技术履约验收内容：</w:t>
            </w:r>
            <w:r>
              <w:rPr>
                <w:rFonts w:hint="eastAsia" w:ascii="仿宋" w:hAnsi="仿宋" w:eastAsia="仿宋" w:cs="仿宋_GB2312"/>
                <w:spacing w:val="20"/>
                <w:kern w:val="0"/>
                <w:szCs w:val="21"/>
              </w:rPr>
              <w:t>按招标文件、中标供应商投标文件应答参数、投标人提供的货物实际功能参数及双方合同约定进行验收。</w:t>
            </w:r>
          </w:p>
          <w:p w14:paraId="32F1FCF4">
            <w:pPr>
              <w:widowControl/>
              <w:shd w:val="clear" w:color="auto" w:fill="FFFFFF"/>
              <w:spacing w:line="300" w:lineRule="exact"/>
              <w:jc w:val="left"/>
              <w:rPr>
                <w:rFonts w:hint="eastAsia" w:ascii="仿宋" w:hAnsi="仿宋" w:eastAsia="仿宋" w:cs="仿宋_GB2312"/>
                <w:szCs w:val="21"/>
                <w:shd w:val="clear" w:color="auto" w:fill="FFFFFF"/>
              </w:rPr>
            </w:pPr>
            <w:r>
              <w:rPr>
                <w:rFonts w:hint="eastAsia" w:ascii="仿宋" w:hAnsi="仿宋" w:eastAsia="仿宋" w:cs="仿宋_GB2312"/>
                <w:b/>
                <w:bCs/>
                <w:spacing w:val="20"/>
                <w:kern w:val="0"/>
                <w:szCs w:val="21"/>
              </w:rPr>
              <w:t>10.商务履约验收内容：</w:t>
            </w:r>
            <w:r>
              <w:rPr>
                <w:rFonts w:hint="eastAsia" w:ascii="仿宋" w:hAnsi="仿宋" w:eastAsia="仿宋" w:cs="仿宋_GB2312"/>
                <w:szCs w:val="21"/>
                <w:shd w:val="clear" w:color="auto" w:fill="FFFFFF"/>
              </w:rPr>
              <w:t>按招标文件、中标供应商投标文件应答内容及双方合同约定进行验收。</w:t>
            </w:r>
          </w:p>
          <w:p w14:paraId="0F0FC1F1">
            <w:pPr>
              <w:widowControl/>
              <w:shd w:val="clear" w:color="auto" w:fill="FFFFFF"/>
              <w:spacing w:line="300" w:lineRule="exact"/>
              <w:jc w:val="left"/>
              <w:rPr>
                <w:rFonts w:hint="eastAsia" w:ascii="仿宋" w:hAnsi="仿宋" w:eastAsia="仿宋" w:cs="仿宋_GB2312"/>
                <w:szCs w:val="21"/>
              </w:rPr>
            </w:pPr>
            <w:r>
              <w:rPr>
                <w:rFonts w:hint="eastAsia" w:ascii="仿宋" w:hAnsi="仿宋" w:eastAsia="仿宋" w:cs="仿宋_GB2312"/>
                <w:b/>
                <w:bCs/>
                <w:spacing w:val="20"/>
                <w:kern w:val="0"/>
                <w:szCs w:val="21"/>
              </w:rPr>
              <w:t>11）履约验收标准：</w:t>
            </w:r>
            <w:r>
              <w:rPr>
                <w:rFonts w:hint="eastAsia" w:ascii="仿宋" w:hAnsi="仿宋" w:eastAsia="仿宋" w:cs="仿宋_GB2312"/>
                <w:szCs w:val="21"/>
              </w:rPr>
              <w:t>按照《财政部关于进一步加强政府采购需求和履约验收管理的指导意见》（财库〔2016〕205号）、《政府采购需求管理办法（财库〔2021〕22号）》、《四川轻化工大学采购项目验收管理办法（川轻化〔2020〕11号）》以及招标文件的质量要求和技术指标、中标供应商的投标文件及承诺与合同约定标准的要求进行验收。</w:t>
            </w:r>
          </w:p>
          <w:p w14:paraId="0DEC4739">
            <w:pPr>
              <w:widowControl/>
              <w:shd w:val="clear" w:color="auto" w:fill="FFFFFF"/>
              <w:spacing w:line="300" w:lineRule="exact"/>
              <w:jc w:val="left"/>
              <w:rPr>
                <w:rFonts w:hint="eastAsia" w:ascii="仿宋" w:hAnsi="仿宋" w:eastAsia="仿宋" w:cs="仿宋_GB2312"/>
                <w:szCs w:val="21"/>
              </w:rPr>
            </w:pPr>
            <w:r>
              <w:rPr>
                <w:rFonts w:hint="eastAsia" w:ascii="仿宋" w:hAnsi="仿宋" w:eastAsia="仿宋" w:cs="仿宋_GB2312"/>
                <w:b/>
                <w:bCs/>
                <w:spacing w:val="20"/>
                <w:kern w:val="0"/>
                <w:szCs w:val="21"/>
              </w:rPr>
              <w:t>12）履约验收其他事项：</w:t>
            </w:r>
            <w:r>
              <w:rPr>
                <w:rFonts w:hint="eastAsia" w:ascii="仿宋" w:hAnsi="仿宋" w:eastAsia="仿宋" w:cs="仿宋_GB2312"/>
                <w:spacing w:val="20"/>
                <w:kern w:val="0"/>
                <w:szCs w:val="21"/>
              </w:rPr>
              <w:t>无</w:t>
            </w:r>
          </w:p>
        </w:tc>
      </w:tr>
      <w:tr w14:paraId="3CB7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43" w:type="pct"/>
            <w:vAlign w:val="center"/>
          </w:tcPr>
          <w:p w14:paraId="5AA73257">
            <w:pPr>
              <w:pStyle w:val="10"/>
              <w:spacing w:line="300" w:lineRule="exact"/>
              <w:jc w:val="center"/>
              <w:rPr>
                <w:rFonts w:hint="eastAsia" w:ascii="仿宋" w:hAnsi="仿宋" w:eastAsia="仿宋" w:cs="仿宋_GB2312"/>
                <w:spacing w:val="20"/>
                <w:szCs w:val="21"/>
              </w:rPr>
            </w:pPr>
            <w:r>
              <w:rPr>
                <w:rFonts w:hint="eastAsia" w:ascii="仿宋" w:hAnsi="仿宋" w:eastAsia="仿宋" w:cs="仿宋_GB2312"/>
                <w:spacing w:val="20"/>
                <w:szCs w:val="21"/>
              </w:rPr>
              <w:t>16</w:t>
            </w:r>
          </w:p>
        </w:tc>
        <w:tc>
          <w:tcPr>
            <w:tcW w:w="759" w:type="pct"/>
            <w:vAlign w:val="center"/>
          </w:tcPr>
          <w:p w14:paraId="27E5DB5C">
            <w:pPr>
              <w:pStyle w:val="10"/>
              <w:spacing w:line="300" w:lineRule="exact"/>
              <w:jc w:val="center"/>
              <w:rPr>
                <w:rFonts w:hint="eastAsia" w:ascii="仿宋" w:hAnsi="仿宋" w:eastAsia="仿宋" w:cs="仿宋_GB2312"/>
                <w:szCs w:val="21"/>
              </w:rPr>
            </w:pPr>
            <w:r>
              <w:rPr>
                <w:rFonts w:hint="eastAsia" w:ascii="仿宋" w:hAnsi="仿宋" w:eastAsia="仿宋" w:cs="仿宋_GB2312"/>
                <w:szCs w:val="21"/>
              </w:rPr>
              <w:t>风险控制措施和替代方案（内置模板，需求单位无需填写）</w:t>
            </w:r>
          </w:p>
        </w:tc>
        <w:tc>
          <w:tcPr>
            <w:tcW w:w="3698" w:type="pct"/>
            <w:vAlign w:val="center"/>
          </w:tcPr>
          <w:p w14:paraId="1F8D6377">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1.国家政策变化风险的应对措施：</w:t>
            </w:r>
            <w:r>
              <w:rPr>
                <w:rFonts w:ascii="Calibri" w:hAnsi="Calibri" w:eastAsia="仿宋" w:cs="Calibri"/>
                <w:b/>
                <w:bCs/>
                <w:szCs w:val="21"/>
              </w:rPr>
              <w:t> </w:t>
            </w:r>
            <w:r>
              <w:rPr>
                <w:rFonts w:hint="eastAsia" w:ascii="仿宋" w:hAnsi="仿宋" w:eastAsia="仿宋" w:cs="仿宋_GB2312"/>
                <w:szCs w:val="21"/>
              </w:rPr>
              <w:t>近年来，政府采购政策变化较大，财政部2020年12月4日发布《中华人民共和国政府采购法(修订草案征求意见稿)》，2021年4月30日，财政部公布《政府采购货物和服务招标投标管理办法(修订草案征求意见稿)》，对《政府采购货物和服务招标投标管理办法》(财政部令第87号，以下简称87号令)进行了修订，2021年5月10日，财政部网站发布关于印发《政府采购需求管理办法》的通知。根据办法要求，政府采购货物、工程和服务项目的需求管理适用本办法，该办法自2021年7月1日起施行。从政策层面来说，在本项目实施过程中可能会有政策变化带来的合法性风险，因此在采购过程和履约过程中需做到时刻紧跟政策变化，若政策变化导致项目内容相应变化，需及时依法发布更正通知，确保项目内容与现行政策法规相匹配。</w:t>
            </w:r>
          </w:p>
          <w:p w14:paraId="6C4E82F5">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2.实施环境变化风险的应对措施：</w:t>
            </w:r>
            <w:r>
              <w:rPr>
                <w:rFonts w:ascii="Calibri" w:hAnsi="Calibri" w:eastAsia="仿宋" w:cs="Calibri"/>
                <w:b/>
                <w:bCs/>
                <w:szCs w:val="21"/>
              </w:rPr>
              <w:t> </w:t>
            </w:r>
            <w:r>
              <w:rPr>
                <w:rFonts w:hint="eastAsia" w:ascii="仿宋" w:hAnsi="仿宋" w:eastAsia="仿宋" w:cs="仿宋_GB2312"/>
                <w:szCs w:val="21"/>
              </w:rPr>
              <w:t>在政府采购活动中，实施环境主要有经济体制环境、法律制度环境、道德体系环境、行政管理环境和监督问责环境。当实施环境发生变化时，作为实施主体要提前通知相关当事人以及监督部门，对相应变化做出适当调整。保证项目的正常合法开展。</w:t>
            </w:r>
          </w:p>
          <w:p w14:paraId="27C6419C">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3.重大技术变化风险的应对措施：</w:t>
            </w:r>
            <w:r>
              <w:rPr>
                <w:rFonts w:ascii="Calibri" w:hAnsi="Calibri" w:eastAsia="仿宋" w:cs="Calibri"/>
                <w:szCs w:val="21"/>
              </w:rPr>
              <w:t> </w:t>
            </w:r>
            <w:r>
              <w:rPr>
                <w:rFonts w:hint="eastAsia" w:ascii="仿宋" w:hAnsi="仿宋" w:eastAsia="仿宋" w:cs="仿宋_GB2312"/>
                <w:szCs w:val="21"/>
              </w:rPr>
              <w:t>在政府采购活动过程中，项目技术会存在需要修改、升级、迭代的情形，当项目技术发生变化时，作为实施主体要提前通知相关当事人以及监督部门，对相应变化做出适当调整。保证项目的正常合法开展。</w:t>
            </w:r>
          </w:p>
          <w:p w14:paraId="69194B7B">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4.预算项目调整风险的应对措施：</w:t>
            </w:r>
            <w:r>
              <w:rPr>
                <w:rFonts w:ascii="Calibri" w:hAnsi="Calibri" w:eastAsia="仿宋" w:cs="Calibri"/>
                <w:szCs w:val="21"/>
              </w:rPr>
              <w:t> </w:t>
            </w:r>
            <w:r>
              <w:rPr>
                <w:rFonts w:hint="eastAsia" w:ascii="仿宋" w:hAnsi="仿宋" w:eastAsia="仿宋" w:cs="仿宋_GB2312"/>
                <w:szCs w:val="21"/>
              </w:rPr>
              <w:t>遇项目预算调整，按中华人民共和国政府采购法及中华人民共和国政府采购法实施条例相关要求，及时对项目不同情形下及时处理，项目处于准备阶段时，重新调整预算并按相关流程继续实施；项目处于采购执行阶段及时对采购项目进行终止并上报财政部门同时通知相关当事人，待预算调整后重新组织采购。</w:t>
            </w:r>
          </w:p>
          <w:p w14:paraId="076F6B6C">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5.因质疑投诉影响采购进度风险的应对措施：</w:t>
            </w:r>
            <w:r>
              <w:rPr>
                <w:rFonts w:ascii="Calibri" w:hAnsi="Calibri" w:eastAsia="仿宋" w:cs="Calibri"/>
                <w:szCs w:val="21"/>
              </w:rPr>
              <w:t> </w:t>
            </w:r>
            <w:r>
              <w:rPr>
                <w:rFonts w:hint="eastAsia" w:ascii="仿宋" w:hAnsi="仿宋" w:eastAsia="仿宋" w:cs="仿宋_GB2312"/>
                <w:szCs w:val="21"/>
              </w:rPr>
              <w:t>在政府采购活动过程中，潜在供应商认为招标文件、招标过程、中标或者成交结果使自己的权益受到损害的，可以在知道或者应知其权益受到损害之日起7个工作日内，以书面形式向招标人、采购代理机构提出质疑，质疑供应商对招标人、采购代理机构的答复不满意，或者招标人、采购代理机构未在规定时间内作出答复的，可以在答复期满后15个工作日内向预算级次的财政部门提起投诉。在制定采购需求时，应将容易引起质疑的条款着重审查，在前期就降低质疑风险。在采购活动实施过程中，潜在供应商对相关流程提出询问或质疑时，招标人或采购代理机构应当按照相关程序对供应商进行回复，争取通过对相关问题进行解释而让质疑供应商撤回质疑。当产生质疑时，作为实施主体要提前通知相关当事人，对质疑事项进行答复，若涉及需要调整的内容，应当通知相关当事人以及监督部门，对相应变化做出调整。保证项目的正常合法开展。</w:t>
            </w:r>
          </w:p>
          <w:p w14:paraId="79351EFB">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6.采购失败风险的应对措施：</w:t>
            </w:r>
            <w:r>
              <w:rPr>
                <w:rFonts w:ascii="Calibri" w:hAnsi="Calibri" w:eastAsia="仿宋" w:cs="Calibri"/>
                <w:szCs w:val="21"/>
              </w:rPr>
              <w:t> </w:t>
            </w:r>
            <w:r>
              <w:rPr>
                <w:rFonts w:hint="eastAsia" w:ascii="仿宋" w:hAnsi="仿宋" w:eastAsia="仿宋" w:cs="仿宋_GB2312"/>
                <w:szCs w:val="21"/>
              </w:rPr>
              <w:t>投标截止后投标人不足3家或者通过资格审查或符合性审查的投标人不足3家的，除采购任务取消情形外，按照以下方式处理：(一)招标文件存在不合理条款或者招标程序不符合规定的，招标人、采购代理机构改正后依法重新招标；(二)招标文件没有不合理条款、招标程序符合规定，需要采用其他采购方式采购的，招标人应当依法报财政部门批准。</w:t>
            </w:r>
          </w:p>
          <w:p w14:paraId="0ED7A011">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7.不按规定签订或者履行合同风险的应对措施：</w:t>
            </w:r>
            <w:r>
              <w:rPr>
                <w:rFonts w:ascii="Calibri" w:hAnsi="Calibri" w:eastAsia="仿宋" w:cs="Calibri"/>
                <w:szCs w:val="21"/>
              </w:rPr>
              <w:t> </w:t>
            </w:r>
            <w:r>
              <w:rPr>
                <w:rFonts w:hint="eastAsia" w:ascii="仿宋" w:hAnsi="仿宋" w:eastAsia="仿宋" w:cs="仿宋_GB2312"/>
                <w:szCs w:val="21"/>
              </w:rPr>
              <w:t>中标或者中标人拒绝与招标人签订合同的，招标人可以按照评审报告推荐的中标或者成交候选人名单排序，确定下一候选人为中标或者中标人，也可以重新开展政府采购活动。</w:t>
            </w:r>
          </w:p>
          <w:p w14:paraId="5A4A5338">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8.出现损害国家利益和社会公共利益情形风险的应对措施：</w:t>
            </w:r>
            <w:r>
              <w:rPr>
                <w:rFonts w:ascii="Calibri" w:hAnsi="Calibri" w:eastAsia="仿宋" w:cs="Calibri"/>
                <w:szCs w:val="21"/>
              </w:rPr>
              <w:t> </w:t>
            </w:r>
            <w:r>
              <w:rPr>
                <w:rFonts w:hint="eastAsia" w:ascii="仿宋" w:hAnsi="仿宋" w:eastAsia="仿宋" w:cs="仿宋_GB2312"/>
                <w:szCs w:val="21"/>
              </w:rPr>
              <w:t>为维护国家利益和社会公共利益，实现二者与其他组织或个体利益间的协调发展，针对此类风险，采取如下原则和方式处理：在原则上，首先，应当遵循依法处理原则。其次，遵循本国利益优于外国利益、安全利益高于经济利益、全局利益优于局部利益、长远利益优于眼前。利益的原则。在方式上，根据我国现行立法、行政、司法及政府采购体制机制，及时对相关责任人依法依规处理，并对项目上报财政部门。</w:t>
            </w:r>
          </w:p>
          <w:p w14:paraId="1685ADC2">
            <w:pPr>
              <w:pStyle w:val="10"/>
              <w:spacing w:line="300" w:lineRule="exact"/>
              <w:jc w:val="left"/>
              <w:rPr>
                <w:rFonts w:hint="eastAsia" w:ascii="仿宋" w:hAnsi="仿宋" w:eastAsia="仿宋" w:cs="仿宋_GB2312"/>
                <w:szCs w:val="21"/>
              </w:rPr>
            </w:pPr>
            <w:r>
              <w:rPr>
                <w:rFonts w:hint="eastAsia" w:ascii="仿宋" w:hAnsi="仿宋" w:eastAsia="仿宋" w:cs="仿宋_GB2312"/>
                <w:b/>
                <w:bCs/>
                <w:szCs w:val="21"/>
              </w:rPr>
              <w:t>9.其他采购和合同履行过程的风险及应对措施：</w:t>
            </w:r>
            <w:r>
              <w:rPr>
                <w:rFonts w:ascii="Calibri" w:hAnsi="Calibri" w:eastAsia="仿宋" w:cs="Calibri"/>
                <w:szCs w:val="21"/>
              </w:rPr>
              <w:t> </w:t>
            </w:r>
            <w:r>
              <w:rPr>
                <w:rFonts w:hint="eastAsia" w:ascii="仿宋" w:hAnsi="仿宋" w:eastAsia="仿宋" w:cs="仿宋_GB2312"/>
                <w:szCs w:val="21"/>
              </w:rPr>
              <w:t>在项目合同履行过程中存在以下风险，风险一：合同效力待定的风险；风险二：合同欺诈的风险；风险三：签约能力禁止的风险。控制措施：合同一定要盖公司的合同章或公章，其中公章的效力高于签字，即使法定代表人或授权代表的签字系伪造，合同仍然有效。在合同签订前通过各种方式和渠道对对方的资信情况进行调查，掌握和了解对方的履约能力法律依据：《中华人民共和国民法典》第四百九十一条当事人采用信件、数据电文等形式订立合同要求签订确认书的，签订确认书时合同成立。当事人一方通过互联网等信息网络发布的商品或者服务信息符合要约条件的，对方选择该商品或者服务并提交订单成功时合同成立，但是当事人另有约定的除外。</w:t>
            </w:r>
          </w:p>
        </w:tc>
      </w:tr>
    </w:tbl>
    <w:p w14:paraId="6890FB95">
      <w:pPr>
        <w:spacing w:line="300" w:lineRule="exact"/>
        <w:ind w:firstLine="420" w:firstLineChars="200"/>
        <w:jc w:val="left"/>
        <w:rPr>
          <w:rFonts w:hint="eastAsia" w:ascii="仿宋" w:hAnsi="仿宋" w:eastAsia="仿宋"/>
          <w:szCs w:val="21"/>
        </w:rPr>
      </w:pPr>
    </w:p>
    <w:p w14:paraId="006A4CD2">
      <w:pPr>
        <w:pStyle w:val="4"/>
        <w:spacing w:line="300" w:lineRule="exact"/>
        <w:ind w:firstLine="500"/>
        <w:rPr>
          <w:rFonts w:hint="eastAsia" w:ascii="仿宋" w:hAnsi="仿宋" w:eastAsia="仿宋"/>
          <w:color w:val="auto"/>
          <w:spacing w:val="20"/>
          <w:sz w:val="21"/>
          <w:szCs w:val="21"/>
        </w:rPr>
      </w:pPr>
    </w:p>
    <w:bookmarkEnd w:id="0"/>
    <w:p w14:paraId="0E457136">
      <w:pPr>
        <w:spacing w:line="300" w:lineRule="exact"/>
        <w:ind w:firstLine="422" w:firstLineChars="200"/>
        <w:jc w:val="left"/>
        <w:rPr>
          <w:rFonts w:hint="eastAsia" w:ascii="仿宋" w:hAnsi="仿宋" w:eastAsia="仿宋" w:cs="微软雅黑"/>
          <w:b/>
          <w:bCs/>
          <w:szCs w:val="21"/>
        </w:rPr>
      </w:pPr>
    </w:p>
    <w:sectPr>
      <w:headerReference r:id="rId3" w:type="default"/>
      <w:footerReference r:id="rId5" w:type="default"/>
      <w:headerReference r:id="rId4"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620C431-2BAA-4B5A-A637-0E571CA04F5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FAEF820-444E-4AF4-8DC6-F55EF29F3A4E}"/>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3" w:fontKey="{9569DA07-4166-4B8C-BE99-B0C23F43CFF0}"/>
  </w:font>
  <w:font w:name="Courier New">
    <w:panose1 w:val="02070309020205020404"/>
    <w:charset w:val="00"/>
    <w:family w:val="modern"/>
    <w:pitch w:val="default"/>
    <w:sig w:usb0="E0002EFF" w:usb1="C0007843" w:usb2="00000009" w:usb3="00000000" w:csb0="400001FF" w:csb1="FFFF0000"/>
    <w:embedRegular r:id="rId4" w:fontKey="{CC04D792-5A74-49A2-97CC-00847E7449C7}"/>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5" w:fontKey="{B735BD03-1D4E-4675-B1C9-F9E54A0CCB60}"/>
  </w:font>
  <w:font w:name="方正小标宋_GBK">
    <w:altName w:val="微软雅黑"/>
    <w:panose1 w:val="03000509000000000000"/>
    <w:charset w:val="86"/>
    <w:family w:val="auto"/>
    <w:pitch w:val="default"/>
    <w:sig w:usb0="00000000" w:usb1="00000000" w:usb2="00000000" w:usb3="00000000" w:csb0="00040000" w:csb1="00000000"/>
    <w:embedRegular r:id="rId6" w:fontKey="{A0788240-02BB-437A-A973-88C10C64532A}"/>
  </w:font>
  <w:font w:name="微软雅黑">
    <w:panose1 w:val="020B0503020204020204"/>
    <w:charset w:val="86"/>
    <w:family w:val="swiss"/>
    <w:pitch w:val="default"/>
    <w:sig w:usb0="80000287" w:usb1="2ACF3C50" w:usb2="00000016" w:usb3="00000000" w:csb0="0004001F" w:csb1="00000000"/>
    <w:embedRegular r:id="rId7" w:fontKey="{FBD63FCA-8B86-45D2-85EB-6B15445634D8}"/>
  </w:font>
  <w:font w:name="方正小标宋简体">
    <w:panose1 w:val="03000509000000000000"/>
    <w:charset w:val="86"/>
    <w:family w:val="script"/>
    <w:pitch w:val="default"/>
    <w:sig w:usb0="00000001" w:usb1="080E0000" w:usb2="00000000" w:usb3="00000000" w:csb0="00040000" w:csb1="00000000"/>
    <w:embedRegular r:id="rId8" w:fontKey="{287385A0-4770-4D3E-B7F8-A5ABBC2C604D}"/>
  </w:font>
  <w:font w:name="楷体">
    <w:panose1 w:val="02010609060101010101"/>
    <w:charset w:val="86"/>
    <w:family w:val="modern"/>
    <w:pitch w:val="default"/>
    <w:sig w:usb0="800002BF" w:usb1="38CF7CFA" w:usb2="00000016" w:usb3="00000000" w:csb0="00040001" w:csb1="00000000"/>
    <w:embedRegular r:id="rId9" w:fontKey="{B6102A29-2608-46DB-B51D-980709E84CFB}"/>
  </w:font>
  <w:font w:name="Wingdings 2">
    <w:panose1 w:val="05020102010507070707"/>
    <w:charset w:val="02"/>
    <w:family w:val="roman"/>
    <w:pitch w:val="default"/>
    <w:sig w:usb0="00000000" w:usb1="00000000" w:usb2="00000000" w:usb3="00000000" w:csb0="80000000" w:csb1="00000000"/>
    <w:embedRegular r:id="rId10" w:fontKey="{7199296F-C8BB-44CD-9E7F-50294971DB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6557221"/>
      <w:docPartObj>
        <w:docPartGallery w:val="autotext"/>
      </w:docPartObj>
    </w:sdtPr>
    <w:sdtEndPr>
      <w:rPr>
        <w:rFonts w:ascii="宋体" w:hAnsi="宋体" w:eastAsia="宋体"/>
      </w:rPr>
    </w:sdtEndPr>
    <w:sdtContent>
      <w:sdt>
        <w:sdtPr>
          <w:id w:val="1728636285"/>
          <w:docPartObj>
            <w:docPartGallery w:val="autotext"/>
          </w:docPartObj>
        </w:sdtPr>
        <w:sdtEndPr>
          <w:rPr>
            <w:rFonts w:ascii="宋体" w:hAnsi="宋体" w:eastAsia="宋体"/>
          </w:rPr>
        </w:sdtEndPr>
        <w:sdtContent>
          <w:p w14:paraId="607D1A66">
            <w:pPr>
              <w:pStyle w:val="11"/>
              <w:jc w:val="center"/>
              <w:rPr>
                <w:rFonts w:hint="eastAsia"/>
              </w:rPr>
            </w:pPr>
            <w:r>
              <w:rPr>
                <w:lang w:val="zh-CN"/>
              </w:rPr>
              <w:t xml:space="preserve"> </w:t>
            </w:r>
            <w:r>
              <w:rPr>
                <w:rFonts w:ascii="宋体" w:hAnsi="宋体" w:eastAsia="宋体"/>
                <w:b/>
                <w:bCs/>
                <w:sz w:val="24"/>
                <w:szCs w:val="24"/>
              </w:rPr>
              <w:fldChar w:fldCharType="begin"/>
            </w:r>
            <w:r>
              <w:rPr>
                <w:rFonts w:ascii="宋体" w:hAnsi="宋体" w:eastAsia="宋体"/>
                <w:b/>
                <w:bCs/>
              </w:rPr>
              <w:instrText xml:space="preserve">PAGE</w:instrText>
            </w:r>
            <w:r>
              <w:rPr>
                <w:rFonts w:ascii="宋体" w:hAnsi="宋体" w:eastAsia="宋体"/>
                <w:b/>
                <w:bCs/>
                <w:sz w:val="24"/>
                <w:szCs w:val="24"/>
              </w:rPr>
              <w:fldChar w:fldCharType="separate"/>
            </w:r>
            <w:r>
              <w:rPr>
                <w:rFonts w:ascii="宋体" w:hAnsi="宋体" w:eastAsia="宋体"/>
                <w:b/>
                <w:bCs/>
                <w:lang w:val="zh-CN"/>
              </w:rPr>
              <w:t>2</w:t>
            </w:r>
            <w:r>
              <w:rPr>
                <w:rFonts w:ascii="宋体" w:hAnsi="宋体" w:eastAsia="宋体"/>
                <w:b/>
                <w:bCs/>
                <w:sz w:val="24"/>
                <w:szCs w:val="24"/>
              </w:rPr>
              <w:fldChar w:fldCharType="end"/>
            </w:r>
            <w:r>
              <w:rPr>
                <w:rFonts w:ascii="宋体" w:hAnsi="宋体" w:eastAsia="宋体"/>
                <w:lang w:val="zh-CN"/>
              </w:rPr>
              <w:t xml:space="preserve"> / </w:t>
            </w:r>
            <w:r>
              <w:rPr>
                <w:rFonts w:ascii="宋体" w:hAnsi="宋体" w:eastAsia="宋体"/>
                <w:b/>
                <w:bCs/>
                <w:sz w:val="24"/>
                <w:szCs w:val="24"/>
              </w:rPr>
              <w:fldChar w:fldCharType="begin"/>
            </w:r>
            <w:r>
              <w:rPr>
                <w:rFonts w:ascii="宋体" w:hAnsi="宋体" w:eastAsia="宋体"/>
                <w:b/>
                <w:bCs/>
              </w:rPr>
              <w:instrText xml:space="preserve">NUMPAGES</w:instrText>
            </w:r>
            <w:r>
              <w:rPr>
                <w:rFonts w:ascii="宋体" w:hAnsi="宋体" w:eastAsia="宋体"/>
                <w:b/>
                <w:bCs/>
                <w:sz w:val="24"/>
                <w:szCs w:val="24"/>
              </w:rPr>
              <w:fldChar w:fldCharType="separate"/>
            </w:r>
            <w:r>
              <w:rPr>
                <w:rFonts w:ascii="宋体" w:hAnsi="宋体" w:eastAsia="宋体"/>
                <w:b/>
                <w:bCs/>
                <w:lang w:val="zh-CN"/>
              </w:rPr>
              <w:t>2</w:t>
            </w:r>
            <w:r>
              <w:rPr>
                <w:rFonts w:ascii="宋体" w:hAnsi="宋体" w:eastAsia="宋体"/>
                <w:b/>
                <w:bCs/>
                <w:sz w:val="24"/>
                <w:szCs w:val="24"/>
              </w:rPr>
              <w:fldChar w:fldCharType="end"/>
            </w:r>
          </w:p>
        </w:sdtContent>
      </w:sdt>
    </w:sdtContent>
  </w:sdt>
  <w:p w14:paraId="45C13241">
    <w:pPr>
      <w:pStyle w:val="11"/>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3BA1F">
    <w:pPr>
      <w:pStyle w:val="12"/>
      <w:pBdr>
        <w:bottom w:val="none" w:color="auto" w:sz="0" w:space="0"/>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E6BC9">
    <w:pPr>
      <w:pStyle w:val="12"/>
      <w:pBdr>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757A8"/>
    <w:multiLevelType w:val="singleLevel"/>
    <w:tmpl w:val="8A1757A8"/>
    <w:lvl w:ilvl="0" w:tentative="0">
      <w:start w:val="1"/>
      <w:numFmt w:val="decimal"/>
      <w:suff w:val="nothing"/>
      <w:lvlText w:val="%1、"/>
      <w:lvlJc w:val="left"/>
    </w:lvl>
  </w:abstractNum>
  <w:abstractNum w:abstractNumId="1">
    <w:nsid w:val="659BA555"/>
    <w:multiLevelType w:val="singleLevel"/>
    <w:tmpl w:val="659BA555"/>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5NTlhYWUwMDExZjczNmE5M2ZkMWY3MTI0YmM3NjMifQ=="/>
  </w:docVars>
  <w:rsids>
    <w:rsidRoot w:val="002B7DCA"/>
    <w:rsid w:val="000356F7"/>
    <w:rsid w:val="000707B2"/>
    <w:rsid w:val="000725E9"/>
    <w:rsid w:val="000B25ED"/>
    <w:rsid w:val="001036DA"/>
    <w:rsid w:val="0010599A"/>
    <w:rsid w:val="00121EA4"/>
    <w:rsid w:val="001264E7"/>
    <w:rsid w:val="001307AD"/>
    <w:rsid w:val="00181880"/>
    <w:rsid w:val="0018699F"/>
    <w:rsid w:val="001A09D4"/>
    <w:rsid w:val="001B2F40"/>
    <w:rsid w:val="001B705F"/>
    <w:rsid w:val="00217307"/>
    <w:rsid w:val="002330CC"/>
    <w:rsid w:val="002366FB"/>
    <w:rsid w:val="00241032"/>
    <w:rsid w:val="00247963"/>
    <w:rsid w:val="002768F3"/>
    <w:rsid w:val="00282E52"/>
    <w:rsid w:val="002849F1"/>
    <w:rsid w:val="002B7DCA"/>
    <w:rsid w:val="002E1928"/>
    <w:rsid w:val="00300A26"/>
    <w:rsid w:val="0031688D"/>
    <w:rsid w:val="00347C84"/>
    <w:rsid w:val="00367197"/>
    <w:rsid w:val="00380185"/>
    <w:rsid w:val="00396276"/>
    <w:rsid w:val="003A33AD"/>
    <w:rsid w:val="003B114F"/>
    <w:rsid w:val="003F0EDF"/>
    <w:rsid w:val="00421336"/>
    <w:rsid w:val="0042674F"/>
    <w:rsid w:val="00464CAF"/>
    <w:rsid w:val="00477FE5"/>
    <w:rsid w:val="004939EE"/>
    <w:rsid w:val="004A08FA"/>
    <w:rsid w:val="004A15C3"/>
    <w:rsid w:val="004A38F6"/>
    <w:rsid w:val="004B6248"/>
    <w:rsid w:val="004B62F6"/>
    <w:rsid w:val="004D1944"/>
    <w:rsid w:val="004D6BCD"/>
    <w:rsid w:val="00500308"/>
    <w:rsid w:val="00511C5A"/>
    <w:rsid w:val="00515657"/>
    <w:rsid w:val="005240D4"/>
    <w:rsid w:val="00534F7C"/>
    <w:rsid w:val="005424DC"/>
    <w:rsid w:val="00553BFC"/>
    <w:rsid w:val="0055501D"/>
    <w:rsid w:val="005757A1"/>
    <w:rsid w:val="0058307B"/>
    <w:rsid w:val="005913B6"/>
    <w:rsid w:val="005A52B2"/>
    <w:rsid w:val="005C345D"/>
    <w:rsid w:val="005C3D4D"/>
    <w:rsid w:val="005E333B"/>
    <w:rsid w:val="0063672F"/>
    <w:rsid w:val="00675534"/>
    <w:rsid w:val="0068638B"/>
    <w:rsid w:val="00692296"/>
    <w:rsid w:val="006A32D5"/>
    <w:rsid w:val="006B16C1"/>
    <w:rsid w:val="006B61BD"/>
    <w:rsid w:val="006F7891"/>
    <w:rsid w:val="0070144F"/>
    <w:rsid w:val="00701534"/>
    <w:rsid w:val="00705B51"/>
    <w:rsid w:val="00705C9B"/>
    <w:rsid w:val="00735E1B"/>
    <w:rsid w:val="00737B23"/>
    <w:rsid w:val="007638A8"/>
    <w:rsid w:val="00764D98"/>
    <w:rsid w:val="00773F1B"/>
    <w:rsid w:val="007A6F83"/>
    <w:rsid w:val="007D423D"/>
    <w:rsid w:val="007E62BE"/>
    <w:rsid w:val="008060A2"/>
    <w:rsid w:val="0082354A"/>
    <w:rsid w:val="008424C1"/>
    <w:rsid w:val="00875F85"/>
    <w:rsid w:val="008A53BA"/>
    <w:rsid w:val="008A70ED"/>
    <w:rsid w:val="008D69FC"/>
    <w:rsid w:val="008F6260"/>
    <w:rsid w:val="0090340F"/>
    <w:rsid w:val="009051B9"/>
    <w:rsid w:val="00934A6D"/>
    <w:rsid w:val="00942AD1"/>
    <w:rsid w:val="00943ED5"/>
    <w:rsid w:val="00966D97"/>
    <w:rsid w:val="0099520F"/>
    <w:rsid w:val="009D5F12"/>
    <w:rsid w:val="009D6BD6"/>
    <w:rsid w:val="009D7DB7"/>
    <w:rsid w:val="009E02E7"/>
    <w:rsid w:val="00A17A9F"/>
    <w:rsid w:val="00A26F46"/>
    <w:rsid w:val="00A27FC8"/>
    <w:rsid w:val="00A421DC"/>
    <w:rsid w:val="00A73EB5"/>
    <w:rsid w:val="00A96776"/>
    <w:rsid w:val="00AC4EA2"/>
    <w:rsid w:val="00AD09F1"/>
    <w:rsid w:val="00AF5319"/>
    <w:rsid w:val="00B11CAF"/>
    <w:rsid w:val="00B327C5"/>
    <w:rsid w:val="00B3502E"/>
    <w:rsid w:val="00B3778E"/>
    <w:rsid w:val="00B4125C"/>
    <w:rsid w:val="00B73B2D"/>
    <w:rsid w:val="00B8214A"/>
    <w:rsid w:val="00BA0DBA"/>
    <w:rsid w:val="00BA5740"/>
    <w:rsid w:val="00BC5251"/>
    <w:rsid w:val="00BC6D7F"/>
    <w:rsid w:val="00BF300B"/>
    <w:rsid w:val="00C02AF9"/>
    <w:rsid w:val="00C20092"/>
    <w:rsid w:val="00C31534"/>
    <w:rsid w:val="00C461BF"/>
    <w:rsid w:val="00C514AB"/>
    <w:rsid w:val="00C63E57"/>
    <w:rsid w:val="00CB7C0E"/>
    <w:rsid w:val="00CE0899"/>
    <w:rsid w:val="00D13896"/>
    <w:rsid w:val="00D26BD1"/>
    <w:rsid w:val="00D352AB"/>
    <w:rsid w:val="00D43616"/>
    <w:rsid w:val="00D503A3"/>
    <w:rsid w:val="00D522A0"/>
    <w:rsid w:val="00D555DD"/>
    <w:rsid w:val="00D611C0"/>
    <w:rsid w:val="00D835D0"/>
    <w:rsid w:val="00D83E89"/>
    <w:rsid w:val="00DA0CE7"/>
    <w:rsid w:val="00DE480F"/>
    <w:rsid w:val="00DE5CE9"/>
    <w:rsid w:val="00DF2802"/>
    <w:rsid w:val="00E05854"/>
    <w:rsid w:val="00E750E5"/>
    <w:rsid w:val="00E90D42"/>
    <w:rsid w:val="00E91180"/>
    <w:rsid w:val="00EA442C"/>
    <w:rsid w:val="00EB6A60"/>
    <w:rsid w:val="00ED076E"/>
    <w:rsid w:val="00F03123"/>
    <w:rsid w:val="00F11ECF"/>
    <w:rsid w:val="00F2341E"/>
    <w:rsid w:val="00F40FF4"/>
    <w:rsid w:val="00F44D97"/>
    <w:rsid w:val="00F46B2D"/>
    <w:rsid w:val="00F77C6B"/>
    <w:rsid w:val="00FD3209"/>
    <w:rsid w:val="00FE787E"/>
    <w:rsid w:val="00FF3CA4"/>
    <w:rsid w:val="00FF7AC4"/>
    <w:rsid w:val="01223EDB"/>
    <w:rsid w:val="05D06B8E"/>
    <w:rsid w:val="063B6F48"/>
    <w:rsid w:val="09331A8F"/>
    <w:rsid w:val="0BBB7B2A"/>
    <w:rsid w:val="0D6712A2"/>
    <w:rsid w:val="107A1B17"/>
    <w:rsid w:val="11530D0C"/>
    <w:rsid w:val="1B746730"/>
    <w:rsid w:val="1BE03147"/>
    <w:rsid w:val="1CFE7390"/>
    <w:rsid w:val="2AF929D5"/>
    <w:rsid w:val="2B377DF3"/>
    <w:rsid w:val="2BF77448"/>
    <w:rsid w:val="2E6664CF"/>
    <w:rsid w:val="310444A3"/>
    <w:rsid w:val="319B70B9"/>
    <w:rsid w:val="334F153C"/>
    <w:rsid w:val="37BD3760"/>
    <w:rsid w:val="434B1DE2"/>
    <w:rsid w:val="441C40EB"/>
    <w:rsid w:val="445F7BD8"/>
    <w:rsid w:val="45A16B1E"/>
    <w:rsid w:val="46E82445"/>
    <w:rsid w:val="476602B2"/>
    <w:rsid w:val="48131E34"/>
    <w:rsid w:val="4B943141"/>
    <w:rsid w:val="4BE00815"/>
    <w:rsid w:val="4DEA7B9A"/>
    <w:rsid w:val="5115210E"/>
    <w:rsid w:val="52B32CA7"/>
    <w:rsid w:val="5A6A5EE3"/>
    <w:rsid w:val="5AAC2110"/>
    <w:rsid w:val="5D7E7207"/>
    <w:rsid w:val="67D32CAA"/>
    <w:rsid w:val="68665EC2"/>
    <w:rsid w:val="6D8A18E8"/>
    <w:rsid w:val="72C744CD"/>
    <w:rsid w:val="74534AF2"/>
    <w:rsid w:val="79586D19"/>
    <w:rsid w:val="7CFF45A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0"/>
    <w:qFormat/>
    <w:uiPriority w:val="99"/>
    <w:pPr>
      <w:outlineLvl w:val="0"/>
    </w:pPr>
    <w:rPr>
      <w:rFonts w:ascii="宋体" w:hAnsi="宋体" w:eastAsia="宋体" w:cs="宋体"/>
      <w:b/>
      <w:sz w:val="28"/>
      <w:szCs w:val="27"/>
    </w:rPr>
  </w:style>
  <w:style w:type="paragraph" w:styleId="3">
    <w:name w:val="heading 2"/>
    <w:basedOn w:val="1"/>
    <w:next w:val="1"/>
    <w:link w:val="21"/>
    <w:qFormat/>
    <w:uiPriority w:val="99"/>
    <w:pPr>
      <w:widowControl/>
      <w:jc w:val="left"/>
      <w:outlineLvl w:val="1"/>
    </w:pPr>
    <w:rPr>
      <w:rFonts w:ascii="宋体" w:hAnsi="宋体" w:eastAsia="宋体" w:cs="宋体"/>
      <w:b/>
      <w:bCs/>
      <w:kern w:val="0"/>
      <w:sz w:val="24"/>
      <w:szCs w:val="27"/>
    </w:rPr>
  </w:style>
  <w:style w:type="paragraph" w:styleId="4">
    <w:name w:val="heading 3"/>
    <w:basedOn w:val="1"/>
    <w:next w:val="1"/>
    <w:link w:val="22"/>
    <w:qFormat/>
    <w:uiPriority w:val="99"/>
    <w:pPr>
      <w:widowControl/>
      <w:spacing w:line="360" w:lineRule="auto"/>
      <w:ind w:firstLine="482" w:firstLineChars="200"/>
      <w:jc w:val="left"/>
      <w:outlineLvl w:val="2"/>
    </w:pPr>
    <w:rPr>
      <w:rFonts w:ascii="宋体" w:hAnsi="宋体" w:eastAsia="宋体" w:cs="宋体"/>
      <w:bCs/>
      <w:color w:val="333333"/>
      <w:kern w:val="0"/>
      <w:sz w:val="24"/>
      <w:szCs w:val="27"/>
    </w:rPr>
  </w:style>
  <w:style w:type="paragraph" w:styleId="5">
    <w:name w:val="heading 4"/>
    <w:basedOn w:val="1"/>
    <w:next w:val="1"/>
    <w:link w:val="23"/>
    <w:qFormat/>
    <w:uiPriority w:val="99"/>
    <w:pPr>
      <w:keepNext/>
      <w:keepLines/>
      <w:spacing w:line="360" w:lineRule="auto"/>
      <w:outlineLvl w:val="3"/>
    </w:pPr>
    <w:rPr>
      <w:rFonts w:ascii="等线 Light" w:hAnsi="等线 Light" w:eastAsia="宋体"/>
      <w:b/>
      <w:bCs/>
      <w:sz w:val="24"/>
      <w:szCs w:val="28"/>
    </w:rPr>
  </w:style>
  <w:style w:type="paragraph" w:styleId="6">
    <w:name w:val="heading 5"/>
    <w:basedOn w:val="1"/>
    <w:next w:val="1"/>
    <w:link w:val="24"/>
    <w:qFormat/>
    <w:uiPriority w:val="99"/>
    <w:pPr>
      <w:widowControl/>
      <w:spacing w:before="100" w:beforeAutospacing="1" w:after="100" w:afterAutospacing="1"/>
      <w:jc w:val="left"/>
      <w:outlineLvl w:val="4"/>
    </w:pPr>
    <w:rPr>
      <w:rFonts w:ascii="宋体" w:hAnsi="宋体" w:eastAsia="宋体" w:cs="宋体"/>
      <w:b/>
      <w:bCs/>
      <w:kern w:val="0"/>
      <w:sz w:val="20"/>
      <w:szCs w:val="20"/>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semiHidden/>
    <w:unhideWhenUsed/>
    <w:qFormat/>
    <w:uiPriority w:val="99"/>
    <w:pPr>
      <w:jc w:val="left"/>
    </w:pPr>
  </w:style>
  <w:style w:type="paragraph" w:styleId="8">
    <w:name w:val="Body Text"/>
    <w:basedOn w:val="1"/>
    <w:next w:val="9"/>
    <w:link w:val="25"/>
    <w:qFormat/>
    <w:uiPriority w:val="99"/>
    <w:pPr>
      <w:tabs>
        <w:tab w:val="left" w:pos="0"/>
      </w:tabs>
      <w:spacing w:line="560" w:lineRule="exact"/>
      <w:jc w:val="left"/>
    </w:pPr>
    <w:rPr>
      <w:rFonts w:ascii="Times New Roman" w:hAnsi="Calibri" w:eastAsia="仿宋_GB2312"/>
      <w:sz w:val="24"/>
      <w:szCs w:val="24"/>
    </w:rPr>
  </w:style>
  <w:style w:type="paragraph" w:styleId="9">
    <w:name w:val="Body Text First Indent"/>
    <w:basedOn w:val="8"/>
    <w:next w:val="1"/>
    <w:unhideWhenUsed/>
    <w:qFormat/>
    <w:uiPriority w:val="99"/>
    <w:pPr>
      <w:ind w:firstLine="420" w:firstLineChars="100"/>
    </w:pPr>
  </w:style>
  <w:style w:type="paragraph" w:styleId="10">
    <w:name w:val="Plain Text"/>
    <w:basedOn w:val="1"/>
    <w:link w:val="26"/>
    <w:qFormat/>
    <w:uiPriority w:val="99"/>
    <w:pPr>
      <w:spacing w:line="324" w:lineRule="auto"/>
    </w:pPr>
    <w:rPr>
      <w:rFonts w:ascii="宋体" w:hAnsi="Courier New"/>
    </w:rPr>
  </w:style>
  <w:style w:type="paragraph" w:styleId="11">
    <w:name w:val="footer"/>
    <w:basedOn w:val="1"/>
    <w:link w:val="27"/>
    <w:qFormat/>
    <w:uiPriority w:val="99"/>
    <w:pPr>
      <w:tabs>
        <w:tab w:val="center" w:pos="4153"/>
        <w:tab w:val="right" w:pos="8306"/>
      </w:tabs>
      <w:snapToGrid w:val="0"/>
      <w:jc w:val="left"/>
    </w:pPr>
    <w:rPr>
      <w:sz w:val="18"/>
      <w:szCs w:val="18"/>
    </w:rPr>
  </w:style>
  <w:style w:type="paragraph" w:styleId="12">
    <w:name w:val="header"/>
    <w:basedOn w:val="1"/>
    <w:link w:val="28"/>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table" w:styleId="15">
    <w:name w:val="Table Grid"/>
    <w:basedOn w:val="1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llowedHyperlink"/>
    <w:basedOn w:val="16"/>
    <w:semiHidden/>
    <w:qFormat/>
    <w:uiPriority w:val="99"/>
    <w:rPr>
      <w:rFonts w:cs="Times New Roman"/>
      <w:color w:val="800080"/>
      <w:u w:val="single"/>
    </w:rPr>
  </w:style>
  <w:style w:type="character" w:styleId="18">
    <w:name w:val="Hyperlink"/>
    <w:basedOn w:val="16"/>
    <w:qFormat/>
    <w:uiPriority w:val="99"/>
    <w:rPr>
      <w:rFonts w:cs="Times New Roman"/>
      <w:color w:val="0000FF"/>
      <w:u w:val="single"/>
    </w:rPr>
  </w:style>
  <w:style w:type="character" w:styleId="19">
    <w:name w:val="annotation reference"/>
    <w:basedOn w:val="16"/>
    <w:semiHidden/>
    <w:unhideWhenUsed/>
    <w:qFormat/>
    <w:uiPriority w:val="99"/>
    <w:rPr>
      <w:sz w:val="21"/>
      <w:szCs w:val="21"/>
    </w:rPr>
  </w:style>
  <w:style w:type="character" w:customStyle="1" w:styleId="20">
    <w:name w:val="标题 1 字符"/>
    <w:basedOn w:val="16"/>
    <w:link w:val="2"/>
    <w:qFormat/>
    <w:locked/>
    <w:uiPriority w:val="99"/>
    <w:rPr>
      <w:rFonts w:ascii="宋体" w:hAnsi="宋体" w:eastAsia="宋体" w:cs="宋体"/>
      <w:b/>
      <w:kern w:val="0"/>
      <w:sz w:val="27"/>
      <w:szCs w:val="27"/>
    </w:rPr>
  </w:style>
  <w:style w:type="character" w:customStyle="1" w:styleId="21">
    <w:name w:val="标题 2 字符"/>
    <w:basedOn w:val="16"/>
    <w:link w:val="3"/>
    <w:qFormat/>
    <w:locked/>
    <w:uiPriority w:val="99"/>
    <w:rPr>
      <w:rFonts w:ascii="宋体" w:eastAsia="宋体" w:cs="宋体"/>
      <w:b/>
      <w:bCs/>
      <w:sz w:val="27"/>
      <w:szCs w:val="27"/>
      <w:lang w:val="en-US" w:eastAsia="zh-CN" w:bidi="ar-SA"/>
    </w:rPr>
  </w:style>
  <w:style w:type="character" w:customStyle="1" w:styleId="22">
    <w:name w:val="标题 3 字符"/>
    <w:basedOn w:val="16"/>
    <w:link w:val="4"/>
    <w:qFormat/>
    <w:locked/>
    <w:uiPriority w:val="99"/>
    <w:rPr>
      <w:rFonts w:ascii="宋体" w:hAnsi="宋体" w:eastAsia="宋体" w:cs="宋体"/>
      <w:bCs/>
      <w:color w:val="333333"/>
      <w:kern w:val="0"/>
      <w:sz w:val="27"/>
      <w:szCs w:val="27"/>
    </w:rPr>
  </w:style>
  <w:style w:type="character" w:customStyle="1" w:styleId="23">
    <w:name w:val="标题 4 字符"/>
    <w:basedOn w:val="16"/>
    <w:link w:val="5"/>
    <w:semiHidden/>
    <w:qFormat/>
    <w:locked/>
    <w:uiPriority w:val="99"/>
    <w:rPr>
      <w:rFonts w:ascii="等线 Light" w:hAnsi="等线 Light" w:eastAsia="宋体" w:cs="Times New Roman"/>
      <w:b/>
      <w:bCs/>
      <w:sz w:val="28"/>
      <w:szCs w:val="28"/>
    </w:rPr>
  </w:style>
  <w:style w:type="character" w:customStyle="1" w:styleId="24">
    <w:name w:val="标题 5 字符"/>
    <w:basedOn w:val="16"/>
    <w:link w:val="6"/>
    <w:qFormat/>
    <w:locked/>
    <w:uiPriority w:val="99"/>
    <w:rPr>
      <w:rFonts w:ascii="宋体" w:hAnsi="宋体" w:eastAsia="宋体" w:cs="宋体"/>
      <w:b/>
      <w:bCs/>
      <w:kern w:val="0"/>
      <w:sz w:val="20"/>
      <w:szCs w:val="20"/>
    </w:rPr>
  </w:style>
  <w:style w:type="character" w:customStyle="1" w:styleId="25">
    <w:name w:val="正文文本 字符"/>
    <w:basedOn w:val="16"/>
    <w:link w:val="8"/>
    <w:qFormat/>
    <w:locked/>
    <w:uiPriority w:val="99"/>
    <w:rPr>
      <w:rFonts w:ascii="Times New Roman" w:hAnsi="Calibri" w:eastAsia="仿宋_GB2312" w:cs="Times New Roman"/>
      <w:sz w:val="24"/>
      <w:szCs w:val="24"/>
    </w:rPr>
  </w:style>
  <w:style w:type="character" w:customStyle="1" w:styleId="26">
    <w:name w:val="纯文本 字符"/>
    <w:basedOn w:val="16"/>
    <w:link w:val="10"/>
    <w:semiHidden/>
    <w:qFormat/>
    <w:uiPriority w:val="99"/>
    <w:rPr>
      <w:rFonts w:ascii="宋体" w:hAnsi="Courier New" w:cs="Courier New"/>
      <w:szCs w:val="21"/>
    </w:rPr>
  </w:style>
  <w:style w:type="character" w:customStyle="1" w:styleId="27">
    <w:name w:val="页脚 字符"/>
    <w:basedOn w:val="16"/>
    <w:link w:val="11"/>
    <w:qFormat/>
    <w:locked/>
    <w:uiPriority w:val="99"/>
    <w:rPr>
      <w:rFonts w:cs="Times New Roman"/>
      <w:sz w:val="18"/>
      <w:szCs w:val="18"/>
    </w:rPr>
  </w:style>
  <w:style w:type="character" w:customStyle="1" w:styleId="28">
    <w:name w:val="页眉 字符"/>
    <w:basedOn w:val="16"/>
    <w:link w:val="12"/>
    <w:qFormat/>
    <w:locked/>
    <w:uiPriority w:val="99"/>
    <w:rPr>
      <w:rFonts w:cs="Times New Roman"/>
      <w:sz w:val="18"/>
      <w:szCs w:val="18"/>
    </w:rPr>
  </w:style>
  <w:style w:type="character" w:customStyle="1" w:styleId="29">
    <w:name w:val="population-ceilingprice"/>
    <w:basedOn w:val="16"/>
    <w:qFormat/>
    <w:uiPriority w:val="99"/>
    <w:rPr>
      <w:rFonts w:cs="Times New Roman"/>
    </w:rPr>
  </w:style>
  <w:style w:type="character" w:customStyle="1" w:styleId="30">
    <w:name w:val="population-projectoverview"/>
    <w:basedOn w:val="16"/>
    <w:qFormat/>
    <w:uiPriority w:val="99"/>
    <w:rPr>
      <w:rFonts w:cs="Times New Roman"/>
    </w:rPr>
  </w:style>
  <w:style w:type="character" w:customStyle="1" w:styleId="31">
    <w:name w:val="population-hassupplier"/>
    <w:basedOn w:val="16"/>
    <w:qFormat/>
    <w:uiPriority w:val="99"/>
    <w:rPr>
      <w:rFonts w:cs="Times New Roman"/>
    </w:rPr>
  </w:style>
  <w:style w:type="character" w:customStyle="1" w:styleId="32">
    <w:name w:val="investigation-researchstatus"/>
    <w:basedOn w:val="16"/>
    <w:qFormat/>
    <w:uiPriority w:val="99"/>
    <w:rPr>
      <w:rFonts w:cs="Times New Roman"/>
    </w:rPr>
  </w:style>
  <w:style w:type="character" w:customStyle="1" w:styleId="33">
    <w:name w:val="implementation-kind"/>
    <w:basedOn w:val="16"/>
    <w:qFormat/>
    <w:uiPriority w:val="99"/>
    <w:rPr>
      <w:rFonts w:cs="Times New Roman"/>
    </w:rPr>
  </w:style>
  <w:style w:type="character" w:customStyle="1" w:styleId="34">
    <w:name w:val="implementation-purmethod"/>
    <w:basedOn w:val="16"/>
    <w:qFormat/>
    <w:uiPriority w:val="99"/>
    <w:rPr>
      <w:rFonts w:cs="Times New Roman"/>
    </w:rPr>
  </w:style>
  <w:style w:type="character" w:customStyle="1" w:styleId="35">
    <w:name w:val="implementation-subcontracttotal"/>
    <w:basedOn w:val="16"/>
    <w:qFormat/>
    <w:uiPriority w:val="99"/>
    <w:rPr>
      <w:rFonts w:cs="Times New Roman"/>
    </w:rPr>
  </w:style>
  <w:style w:type="character" w:customStyle="1" w:styleId="36">
    <w:name w:val="implementation-reservestatus"/>
    <w:basedOn w:val="16"/>
    <w:qFormat/>
    <w:uiPriority w:val="99"/>
    <w:rPr>
      <w:rFonts w:cs="Times New Roman"/>
    </w:rPr>
  </w:style>
  <w:style w:type="character" w:customStyle="1" w:styleId="37">
    <w:name w:val="implementation-govservice"/>
    <w:basedOn w:val="16"/>
    <w:qFormat/>
    <w:uiPriority w:val="99"/>
    <w:rPr>
      <w:rFonts w:cs="Times New Roman"/>
    </w:rPr>
  </w:style>
  <w:style w:type="character" w:customStyle="1" w:styleId="38">
    <w:name w:val="implementation-govinfomationstatus"/>
    <w:basedOn w:val="16"/>
    <w:qFormat/>
    <w:uiPriority w:val="99"/>
    <w:rPr>
      <w:rFonts w:cs="Times New Roman"/>
    </w:rPr>
  </w:style>
  <w:style w:type="character" w:customStyle="1" w:styleId="39">
    <w:name w:val="implementation-sciencestatus"/>
    <w:basedOn w:val="16"/>
    <w:qFormat/>
    <w:uiPriority w:val="99"/>
    <w:rPr>
      <w:rFonts w:cs="Times New Roman"/>
    </w:rPr>
  </w:style>
  <w:style w:type="character" w:customStyle="1" w:styleId="40">
    <w:name w:val="implementation-pppstatus"/>
    <w:basedOn w:val="16"/>
    <w:qFormat/>
    <w:uiPriority w:val="99"/>
    <w:rPr>
      <w:rFonts w:cs="Times New Roman"/>
    </w:rPr>
  </w:style>
  <w:style w:type="character" w:customStyle="1" w:styleId="41">
    <w:name w:val="subcontract-legalcontracttype"/>
    <w:basedOn w:val="16"/>
    <w:qFormat/>
    <w:uiPriority w:val="99"/>
    <w:rPr>
      <w:rFonts w:cs="Times New Roman"/>
    </w:rPr>
  </w:style>
  <w:style w:type="character" w:customStyle="1" w:styleId="42">
    <w:name w:val="subcontract-performperiod"/>
    <w:basedOn w:val="16"/>
    <w:qFormat/>
    <w:uiPriority w:val="99"/>
    <w:rPr>
      <w:rFonts w:cs="Times New Roman"/>
    </w:rPr>
  </w:style>
  <w:style w:type="character" w:customStyle="1" w:styleId="43">
    <w:name w:val="subcontract-performaddress"/>
    <w:basedOn w:val="16"/>
    <w:qFormat/>
    <w:uiPriority w:val="99"/>
    <w:rPr>
      <w:rFonts w:cs="Times New Roman"/>
    </w:rPr>
  </w:style>
  <w:style w:type="character" w:customStyle="1" w:styleId="44">
    <w:name w:val="subcontract-contractpaytype"/>
    <w:basedOn w:val="16"/>
    <w:qFormat/>
    <w:uiPriority w:val="99"/>
    <w:rPr>
      <w:rFonts w:cs="Times New Roman"/>
    </w:rPr>
  </w:style>
  <w:style w:type="character" w:customStyle="1" w:styleId="45">
    <w:name w:val="subcontract-deliverystandard"/>
    <w:basedOn w:val="16"/>
    <w:qFormat/>
    <w:uiPriority w:val="99"/>
    <w:rPr>
      <w:rFonts w:cs="Times New Roman"/>
    </w:rPr>
  </w:style>
  <w:style w:type="character" w:customStyle="1" w:styleId="46">
    <w:name w:val="subcontract-maintenance"/>
    <w:basedOn w:val="16"/>
    <w:qFormat/>
    <w:uiPriority w:val="99"/>
    <w:rPr>
      <w:rFonts w:cs="Times New Roman"/>
    </w:rPr>
  </w:style>
  <w:style w:type="character" w:customStyle="1" w:styleId="47">
    <w:name w:val="subcontract-intellectualproperty"/>
    <w:basedOn w:val="16"/>
    <w:qFormat/>
    <w:uiPriority w:val="99"/>
    <w:rPr>
      <w:rFonts w:cs="Times New Roman"/>
    </w:rPr>
  </w:style>
  <w:style w:type="character" w:customStyle="1" w:styleId="48">
    <w:name w:val="subcontract-risksharing"/>
    <w:basedOn w:val="16"/>
    <w:qFormat/>
    <w:uiPriority w:val="99"/>
    <w:rPr>
      <w:rFonts w:cs="Times New Roman"/>
    </w:rPr>
  </w:style>
  <w:style w:type="character" w:customStyle="1" w:styleId="49">
    <w:name w:val="subcontract-disputeresolution"/>
    <w:basedOn w:val="16"/>
    <w:qFormat/>
    <w:uiPriority w:val="99"/>
    <w:rPr>
      <w:rFonts w:cs="Times New Roman"/>
    </w:rPr>
  </w:style>
  <w:style w:type="character" w:customStyle="1" w:styleId="50">
    <w:name w:val="subcontract-otherterms"/>
    <w:basedOn w:val="16"/>
    <w:qFormat/>
    <w:uiPriority w:val="99"/>
    <w:rPr>
      <w:rFonts w:cs="Times New Roman"/>
    </w:rPr>
  </w:style>
  <w:style w:type="character" w:customStyle="1" w:styleId="51">
    <w:name w:val="subcontract-acceptancetype"/>
    <w:basedOn w:val="16"/>
    <w:qFormat/>
    <w:uiPriority w:val="99"/>
    <w:rPr>
      <w:rFonts w:cs="Times New Roman"/>
    </w:rPr>
  </w:style>
  <w:style w:type="character" w:customStyle="1" w:styleId="52">
    <w:name w:val="subcontract-invitesupplierstatus"/>
    <w:basedOn w:val="16"/>
    <w:qFormat/>
    <w:uiPriority w:val="99"/>
    <w:rPr>
      <w:rFonts w:cs="Times New Roman"/>
    </w:rPr>
  </w:style>
  <w:style w:type="character" w:customStyle="1" w:styleId="53">
    <w:name w:val="subcontract-inviteexpertstatus"/>
    <w:basedOn w:val="16"/>
    <w:qFormat/>
    <w:uiPriority w:val="99"/>
    <w:rPr>
      <w:rFonts w:cs="Times New Roman"/>
    </w:rPr>
  </w:style>
  <w:style w:type="character" w:customStyle="1" w:styleId="54">
    <w:name w:val="subcontract-inviteserviceobjectstatus"/>
    <w:basedOn w:val="16"/>
    <w:qFormat/>
    <w:uiPriority w:val="99"/>
    <w:rPr>
      <w:rFonts w:cs="Times New Roman"/>
    </w:rPr>
  </w:style>
  <w:style w:type="character" w:customStyle="1" w:styleId="55">
    <w:name w:val="subcontract-professionaldetectionstatus"/>
    <w:basedOn w:val="16"/>
    <w:qFormat/>
    <w:uiPriority w:val="99"/>
    <w:rPr>
      <w:rFonts w:cs="Times New Roman"/>
    </w:rPr>
  </w:style>
  <w:style w:type="character" w:customStyle="1" w:styleId="56">
    <w:name w:val="subcontract-acceptanceprocesstype"/>
    <w:basedOn w:val="16"/>
    <w:qFormat/>
    <w:uiPriority w:val="99"/>
    <w:rPr>
      <w:rFonts w:cs="Times New Roman"/>
    </w:rPr>
  </w:style>
  <w:style w:type="character" w:customStyle="1" w:styleId="57">
    <w:name w:val="subcontract-otherpreparations"/>
    <w:basedOn w:val="16"/>
    <w:qFormat/>
    <w:uiPriority w:val="99"/>
    <w:rPr>
      <w:rFonts w:cs="Times New Roman"/>
    </w:rPr>
  </w:style>
  <w:style w:type="character" w:customStyle="1" w:styleId="58">
    <w:name w:val="subcontract-goodscontent"/>
    <w:basedOn w:val="16"/>
    <w:qFormat/>
    <w:uiPriority w:val="99"/>
    <w:rPr>
      <w:rFonts w:cs="Times New Roman"/>
    </w:rPr>
  </w:style>
  <w:style w:type="character" w:customStyle="1" w:styleId="59">
    <w:name w:val="subcontract-businesscontent"/>
    <w:basedOn w:val="16"/>
    <w:qFormat/>
    <w:uiPriority w:val="99"/>
    <w:rPr>
      <w:rFonts w:cs="Times New Roman"/>
    </w:rPr>
  </w:style>
  <w:style w:type="character" w:customStyle="1" w:styleId="60">
    <w:name w:val="subcontract-acceptancecriteria"/>
    <w:basedOn w:val="16"/>
    <w:qFormat/>
    <w:uiPriority w:val="99"/>
    <w:rPr>
      <w:rFonts w:cs="Times New Roman"/>
    </w:rPr>
  </w:style>
  <w:style w:type="character" w:customStyle="1" w:styleId="61">
    <w:name w:val="subcontract-othercontent"/>
    <w:basedOn w:val="16"/>
    <w:qFormat/>
    <w:uiPriority w:val="99"/>
    <w:rPr>
      <w:rFonts w:cs="Times New Roman"/>
    </w:rPr>
  </w:style>
  <w:style w:type="character" w:customStyle="1" w:styleId="62">
    <w:name w:val="risk-riskresponse"/>
    <w:basedOn w:val="16"/>
    <w:qFormat/>
    <w:uiPriority w:val="99"/>
    <w:rPr>
      <w:rFonts w:cs="Times New Roman"/>
    </w:rPr>
  </w:style>
  <w:style w:type="paragraph" w:styleId="63">
    <w:name w:val="List Paragraph"/>
    <w:basedOn w:val="1"/>
    <w:qFormat/>
    <w:uiPriority w:val="99"/>
    <w:pPr>
      <w:ind w:firstLine="420" w:firstLineChars="200"/>
    </w:pPr>
  </w:style>
  <w:style w:type="paragraph" w:customStyle="1" w:styleId="64">
    <w:name w:val="表格字体"/>
    <w:basedOn w:val="1"/>
    <w:qFormat/>
    <w:uiPriority w:val="99"/>
    <w:pPr>
      <w:widowControl/>
      <w:spacing w:line="400" w:lineRule="exact"/>
    </w:pPr>
    <w:rPr>
      <w:rFonts w:cs="宋体"/>
      <w:bCs/>
      <w:color w:val="000000"/>
      <w:kern w:val="0"/>
      <w:sz w:val="24"/>
      <w:szCs w:val="18"/>
    </w:rPr>
  </w:style>
  <w:style w:type="table" w:customStyle="1" w:styleId="65">
    <w:name w:val="网格表 1 浅色1"/>
    <w:basedOn w:val="14"/>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66">
    <w:name w:val="样式 首行缩进:  2 字符"/>
    <w:qFormat/>
    <w:uiPriority w:val="99"/>
    <w:pPr>
      <w:widowControl w:val="0"/>
      <w:spacing w:line="400" w:lineRule="exact"/>
      <w:ind w:firstLine="200" w:firstLineChars="200"/>
      <w:jc w:val="both"/>
    </w:pPr>
    <w:rPr>
      <w:rFonts w:ascii="Times New Roman" w:hAnsi="Times New Roman" w:eastAsia="宋体" w:cs="宋体"/>
      <w:kern w:val="2"/>
      <w:sz w:val="24"/>
      <w:szCs w:val="24"/>
      <w:lang w:val="en-US" w:eastAsia="zh-CN" w:bidi="ar-SA"/>
    </w:rPr>
  </w:style>
  <w:style w:type="paragraph" w:customStyle="1" w:styleId="67">
    <w:name w:val="null3"/>
    <w:hidden/>
    <w:qFormat/>
    <w:uiPriority w:val="0"/>
    <w:rPr>
      <w:rFonts w:hint="eastAsia" w:asciiTheme="minorHAnsi" w:hAnsiTheme="minorHAnsi" w:eastAsiaTheme="minorEastAsia" w:cstheme="minorBidi"/>
      <w:lang w:val="en-US" w:eastAsia="zh-Hans" w:bidi="ar-SA"/>
    </w:rPr>
  </w:style>
  <w:style w:type="paragraph" w:customStyle="1" w:styleId="68">
    <w:name w:val="正文文本1"/>
    <w:basedOn w:val="1"/>
    <w:qFormat/>
    <w:uiPriority w:val="0"/>
    <w:pPr>
      <w:spacing w:after="120"/>
    </w:pPr>
    <w:rPr>
      <w:rFonts w:ascii="Calibri" w:hAnsi="Calibri"/>
    </w:rPr>
  </w:style>
  <w:style w:type="paragraph" w:customStyle="1" w:styleId="6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10</Pages>
  <Words>1314</Words>
  <Characters>1329</Characters>
  <Lines>10</Lines>
  <Paragraphs>16</Paragraphs>
  <TotalTime>1</TotalTime>
  <ScaleCrop>false</ScaleCrop>
  <LinksUpToDate>false</LinksUpToDate>
  <CharactersWithSpaces>1902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2026-02-07T09:05:00Z</dcterms:created>
  <dc:creator>张 全丽</dc:creator>
  <cp:lastModifiedBy>Administrator</cp:lastModifiedBy>
  <cp:lastPrinted>2023-08-29T08:12:00Z</cp:lastPrinted>
  <dcterms:modified xsi:type="dcterms:W3CDTF">2026-03-05T02:55:28Z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BCE94B5EE39348D5ABDE6F2E84A491AA_13</vt:lpwstr>
  </property>
  <property fmtid="{D5CDD505-2E9C-101B-9397-08002B2CF9AE}" pid="4" name="KSOTemplateDocerSaveRecord">
    <vt:lpwstr>eyJoZGlkIjoiOTBmYzdkNTM2ZmM3ZTY5MzdlNDNlNDcwMTVmYWE5MGIiLCJ1c2VySWQiOiI0NDE2NTE4In0=</vt:lpwstr>
  </property>
</Properties>
</file>