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版本号：N510001202600191920260709001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土木工程学院智能检测实验室建设设备购置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N5100012026001919</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四川宗兴国际招标有限公司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四川宗兴国际招标有限公司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土木工程学院智能检测实验室建设设备购置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N5100012026001919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土木工程学院智能检测实验室建设设备购置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1.采购混凝土强度及裂缝检测仪一批； 2.为满足智能建造专业教学服务需求，夯实学生专业实践能力，适配专业人才培养中“智能化工程检测”核心目标，特采购混凝土强度及裂缝检测仪。本采购以服务教学为核心导向，兼顾实训实操、理论落地与行业技术衔接，助力学生掌握混凝土检测核心技能，契合智能建造专业对工程质量智能监测、数据化分析的人才培养要求。 所采购检测仪需具备全面的教学适配功能，可实现混凝土强度、裂缝深度及宽度的精准检测，支持超声回弹综合法等主流检测方式，操作便捷、数据直观，适配学生课堂实训与分组实操需求。仪器需具备智能化人机交互、数据自动记录与分析功能，可直观呈现检测波形、数据报表，帮助学生理解检测原理与操作规范，衔接《工程材料与检测》《智能检测与监测》等核心课程教学内容。 同时，仪器性能需贴合行业实际应用标准，兼容智能建造领域数字化检测需求，可辅助开展实训项目设计、检测数据处理等教学活动，培养学生规范操作、数据解读及问题分析能力，实现理论知识与工程实践的深度融合。通过该仪器的投入使用，可完善专业实训教学体系，填补智能化混凝土检测实训设备空白，助力培养具备智能检测能力、符合行业需求的智能建造专业人才，切实保障教学质量与实训效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四川轻化工大学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四川宗兴国际招标有限公司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四川省成都市武侯区四川省成都市武侯区武兴四路203号1栋1单元507号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13330810644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代理服务费收费标准：代理服务费按成交金额的0.7%收取，若计算后不足3000.00元的，按3000.00元收取，由中标（成交）供应商支付。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四川宗兴国际招标有限公司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四川宗兴国际招标有限公司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对投标人提供的货物完整性、功能性以及其他商务内容进行验收。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按招标文件、中标人投标文件应答参数、投标人提供的货物实际功能参数及双方合同约定进行验收。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按招标文件、中标人投标文件应答内容及双方合同约定进行验收。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人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联系电话：13330810644</w:t>
      </w:r>
    </w:p>
    <w:p>
      <w:pPr>
        <w:pStyle w:val="null3"/>
        <w:jc w:val="left"/>
      </w:pPr>
      <w:r>
        <w:rPr>
          <w:rFonts w:ascii="仿宋_GB2312" w:hAnsi="仿宋_GB2312" w:cs="仿宋_GB2312" w:eastAsia="仿宋_GB2312"/>
        </w:rPr>
        <w:t>地址：沿滩区-高新区板仓工业园区荣川路8号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198,000.00</w:t>
      </w:r>
    </w:p>
    <w:p>
      <w:pPr>
        <w:pStyle w:val="null3"/>
        <w:jc w:val="left"/>
      </w:pPr>
      <w:r>
        <w:rPr>
          <w:rFonts w:ascii="仿宋_GB2312" w:hAnsi="仿宋_GB2312" w:cs="仿宋_GB2312" w:eastAsia="仿宋_GB2312"/>
        </w:rPr>
        <w:t>采购包最高限价（元）: 198,000.00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混凝土强度及裂缝检测仪</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198,000.00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混凝土强度及裂缝检测仪</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198,000.00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混凝土强度及裂缝检测仪</w:t>
            </w:r>
          </w:p>
        </w:tc>
        <w:tc>
          <w:tcPr>
            <w:tcW w:type="dxa" w:w="2492"/>
          </w:tcPr>
          <w:p>
            <w:pPr>
              <w:pStyle w:val="null3"/>
              <w:jc w:val="left"/>
            </w:pPr>
            <w:r>
              <w:rPr>
                <w:rFonts w:ascii="仿宋_GB2312" w:hAnsi="仿宋_GB2312" w:cs="仿宋_GB2312" w:eastAsia="仿宋_GB2312"/>
              </w:rPr>
              <w:t>混凝土强度及裂缝检测仪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标的名称：混凝土强度及裂缝检测仪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混凝土强度及裂缝检测仪</w:t>
            </w: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具有但不限于</w:t>
            </w:r>
            <w:r>
              <w:rPr>
                <w:rFonts w:ascii="仿宋_GB2312" w:hAnsi="仿宋_GB2312" w:cs="仿宋_GB2312" w:eastAsia="仿宋_GB2312"/>
                <w:sz w:val="21"/>
                <w:color w:val="000000"/>
              </w:rPr>
              <w:t>超声回弹综合法测强，测缺，测深，测宽</w:t>
            </w:r>
            <w:r>
              <w:rPr>
                <w:rFonts w:ascii="仿宋_GB2312" w:hAnsi="仿宋_GB2312" w:cs="仿宋_GB2312" w:eastAsia="仿宋_GB2312"/>
                <w:sz w:val="21"/>
                <w:color w:val="000000"/>
              </w:rPr>
              <w:t>4大功能；</w:t>
            </w:r>
          </w:p>
          <w:p>
            <w:pPr>
              <w:pStyle w:val="null3"/>
              <w:jc w:val="left"/>
            </w:pPr>
            <w:r>
              <w:rPr>
                <w:rFonts w:ascii="仿宋_GB2312" w:hAnsi="仿宋_GB2312" w:cs="仿宋_GB2312" w:eastAsia="仿宋_GB2312"/>
                <w:sz w:val="21"/>
                <w:color w:val="000000"/>
              </w:rPr>
              <w:t>2、支持装配式建筑预制剪力墙底部接缝灌浆饱满度检测，具备模拟成像功能；</w:t>
            </w:r>
          </w:p>
          <w:p>
            <w:pPr>
              <w:pStyle w:val="null3"/>
              <w:jc w:val="left"/>
            </w:pPr>
            <w:r>
              <w:rPr>
                <w:rFonts w:ascii="仿宋_GB2312" w:hAnsi="仿宋_GB2312" w:cs="仿宋_GB2312" w:eastAsia="仿宋_GB2312"/>
                <w:sz w:val="21"/>
                <w:color w:val="000000"/>
              </w:rPr>
              <w:t>3、支持自动判读首波声时、波幅，直接显示检测结果；</w:t>
            </w:r>
          </w:p>
          <w:p>
            <w:pPr>
              <w:pStyle w:val="null3"/>
              <w:jc w:val="left"/>
            </w:pPr>
            <w:r>
              <w:rPr>
                <w:rFonts w:ascii="仿宋_GB2312" w:hAnsi="仿宋_GB2312" w:cs="仿宋_GB2312" w:eastAsia="仿宋_GB2312"/>
                <w:sz w:val="21"/>
                <w:color w:val="000000"/>
              </w:rPr>
              <w:t>4、机身厚度≤283×216×41cm；</w:t>
            </w:r>
          </w:p>
          <w:p>
            <w:pPr>
              <w:pStyle w:val="null3"/>
              <w:jc w:val="left"/>
            </w:pPr>
            <w:r>
              <w:rPr>
                <w:rFonts w:ascii="仿宋_GB2312" w:hAnsi="仿宋_GB2312" w:cs="仿宋_GB2312" w:eastAsia="仿宋_GB2312"/>
                <w:sz w:val="21"/>
                <w:color w:val="000000"/>
              </w:rPr>
              <w:t>5、支持手动调整声时线功能；</w:t>
            </w:r>
          </w:p>
          <w:p>
            <w:pPr>
              <w:pStyle w:val="null3"/>
              <w:jc w:val="left"/>
            </w:pPr>
            <w:r>
              <w:rPr>
                <w:rFonts w:ascii="仿宋_GB2312" w:hAnsi="仿宋_GB2312" w:cs="仿宋_GB2312" w:eastAsia="仿宋_GB2312"/>
                <w:sz w:val="21"/>
                <w:color w:val="000000"/>
              </w:rPr>
              <w:t>6、测试过程中，支持任意回放、覆盖、删除已存测点波形功能；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U盘转存数据，支持通过U盘进行软件升级；</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通道数</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显示方式</w:t>
            </w:r>
            <w:r>
              <w:rPr>
                <w:rFonts w:ascii="仿宋_GB2312" w:hAnsi="仿宋_GB2312" w:cs="仿宋_GB2312" w:eastAsia="仿宋_GB2312"/>
                <w:sz w:val="21"/>
              </w:rPr>
              <w:t>≥10.1英寸彩色显示屏，分辨率≥1280x800，背光可调；</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触发方式：自动触发；</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color w:val="000000"/>
              </w:rPr>
              <w:t>裂缝宽度判断，支持</w:t>
            </w:r>
            <w:r>
              <w:rPr>
                <w:rFonts w:ascii="仿宋_GB2312" w:hAnsi="仿宋_GB2312" w:cs="仿宋_GB2312" w:eastAsia="仿宋_GB2312"/>
                <w:sz w:val="21"/>
                <w:color w:val="000000"/>
              </w:rPr>
              <w:t>AI斜向裂缝自动判读、横向判读、手动判读</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采样间隔：</w:t>
            </w:r>
            <w:r>
              <w:rPr>
                <w:rFonts w:ascii="仿宋_GB2312" w:hAnsi="仿宋_GB2312" w:cs="仿宋_GB2312" w:eastAsia="仿宋_GB2312"/>
                <w:sz w:val="21"/>
              </w:rPr>
              <w:t>0.025μs～2000μs多档可选；</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采样长度：</w:t>
            </w:r>
            <w:r>
              <w:rPr>
                <w:rFonts w:ascii="仿宋_GB2312" w:hAnsi="仿宋_GB2312" w:cs="仿宋_GB2312" w:eastAsia="仿宋_GB2312"/>
                <w:sz w:val="21"/>
                <w:color w:val="000000"/>
              </w:rPr>
              <w:t>512点～2048点多档可选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rPr>
              <w:t>接收灵敏度：</w:t>
            </w:r>
            <w:r>
              <w:rPr>
                <w:rFonts w:ascii="仿宋_GB2312" w:hAnsi="仿宋_GB2312" w:cs="仿宋_GB2312" w:eastAsia="仿宋_GB2312"/>
                <w:sz w:val="21"/>
              </w:rPr>
              <w:t>≤10μV；</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15、</w:t>
            </w:r>
            <w:r>
              <w:rPr>
                <w:rFonts w:ascii="仿宋_GB2312" w:hAnsi="仿宋_GB2312" w:cs="仿宋_GB2312" w:eastAsia="仿宋_GB2312"/>
                <w:sz w:val="21"/>
              </w:rPr>
              <w:t>声时测量范围：</w:t>
            </w:r>
            <w:r>
              <w:rPr>
                <w:rFonts w:ascii="仿宋_GB2312" w:hAnsi="仿宋_GB2312" w:cs="仿宋_GB2312" w:eastAsia="仿宋_GB2312"/>
                <w:sz w:val="21"/>
                <w:color w:val="000000"/>
              </w:rPr>
              <w:t>0～4096000μs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16、幅</w:t>
            </w:r>
            <w:r>
              <w:rPr>
                <w:rFonts w:ascii="仿宋_GB2312" w:hAnsi="仿宋_GB2312" w:cs="仿宋_GB2312" w:eastAsia="仿宋_GB2312"/>
                <w:sz w:val="21"/>
                <w:color w:val="000000"/>
              </w:rPr>
              <w:t>度测读范围：</w:t>
            </w:r>
            <w:r>
              <w:rPr>
                <w:rFonts w:ascii="仿宋_GB2312" w:hAnsi="仿宋_GB2312" w:cs="仿宋_GB2312" w:eastAsia="仿宋_GB2312"/>
                <w:sz w:val="21"/>
                <w:color w:val="000000"/>
              </w:rPr>
              <w:t>0～170dB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频带宽度：</w:t>
            </w:r>
            <w:r>
              <w:rPr>
                <w:rFonts w:ascii="仿宋_GB2312" w:hAnsi="仿宋_GB2312" w:cs="仿宋_GB2312" w:eastAsia="仿宋_GB2312"/>
                <w:sz w:val="21"/>
                <w:color w:val="000000"/>
              </w:rPr>
              <w:t>10～500kHz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发射电压：</w:t>
            </w:r>
            <w:r>
              <w:rPr>
                <w:rFonts w:ascii="仿宋_GB2312" w:hAnsi="仿宋_GB2312" w:cs="仿宋_GB2312" w:eastAsia="仿宋_GB2312"/>
                <w:sz w:val="21"/>
                <w:color w:val="000000"/>
              </w:rPr>
              <w:t>125V、250V、500V、1000V多档可选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color w:val="000000"/>
              </w:rPr>
              <w:t>发射脉宽：</w:t>
            </w:r>
            <w:r>
              <w:rPr>
                <w:rFonts w:ascii="仿宋_GB2312" w:hAnsi="仿宋_GB2312" w:cs="仿宋_GB2312" w:eastAsia="仿宋_GB2312"/>
                <w:sz w:val="21"/>
                <w:color w:val="000000"/>
              </w:rPr>
              <w:t>0.1μs～100μs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声时测读精度：</w:t>
            </w:r>
            <w:r>
              <w:rPr>
                <w:rFonts w:ascii="仿宋_GB2312" w:hAnsi="仿宋_GB2312" w:cs="仿宋_GB2312" w:eastAsia="仿宋_GB2312"/>
                <w:sz w:val="21"/>
                <w:color w:val="000000"/>
              </w:rPr>
              <w:t>≤0.025μs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21、裂缝测深范围5～500mm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22、裂缝测宽范围0～10mm；精度≤0.01mm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23、连续工作时间：≥8小时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24、内置存储≥16GB，支持U盘扩容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25、工作温度覆盖：-20～+60℃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26、转存方式：包括但不限于U盘、无线传输</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27、符合GB 50292-2015《民用建筑可靠性鉴定标准》相关标准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★28、符合GB 50204-2015《混凝土结构工程施工质量验收规范》相关标准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29、符合GB/T 50784-2013《混凝土结构现场检测技术标准》相关标准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30、符合JGJ 125-2016《危险房屋鉴定标准》相关标准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▲31、符合SL/T 352-2020《水工混凝土试验规程》相关标准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32、符合JTS 239-2015《水运工程混凝土结构实体检测技术规程》相关标准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33、符合T/CECS 21-2024《超声法检测混凝土缺陷技术规程》相关标准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34、符合T/CECS 02-2020《超声回弹综合法检测混凝土抗压强度技术规程》相关标准。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自合同签订之日起30日内并完成安装调试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四川轻化工大学汇东校区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全部货物安装调试完毕并验收合格，采购人接到中标人通知、中标人出具的合法、有效、完整的全额增值税专用发票后（若遇采购人寒暑假、财务扎账、财政性资金结转等原因，付款时间可作适当顺延），达到付款条件起10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要求、中标人的投标（响应）文件及承诺与合同约定的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中标人应保证提供的货物完全符合合同规定的质量、规格和性能要求。中标人应保证货物在正确安装、正常使用和保养条件下，在其使用寿命期内具备合同约定的性能。存在保修期的，货物最终交付验收合格后在招标文件规定的保修期或者中标人书面承诺（两者以较长的为准）的保修期内，本保证保持有效。 2.在保修期内所发现的缺陷，采购人应尽快以书面形式通知中标人。 3.中标人收到通知后，应在 7 日内进行维修或更换有缺陷的货物或部件。 4.在保修期内，如果货物的质量或规格与合同不符，或证实货物是有缺陷的，包括潜在的缺陷或使用不符合要求的材料等，采购人可以根据违约责任第一条规定以书面形式追究中标人的违约责任。 5.中标人在约定的时间内未能弥补缺陷，采购人可采取必要的补救措施，但其风险和费用将由中标人承担，采购人根据合同约定对中标人行使的其他权利不受影响。 6.本项目质保期1年。</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1.质量瑕疵的违约责任 中标人提供的产品不符合合同约定的质量标准或存在产品质量缺陷，采购人有权要求中标人及时修理、重作、更换，并承担由此给采购人造成的损失。修理、重作、更换的具体要求为： 1.1货物不符合约定的，采购人有权要求中标人在15日内进行修理、更换或重作，并承担因此产生的费用及损失。 1.2 逾期未完成整改的，采购人可解除合同，并要求中标人赔偿直接损失。 2.迟延交货的违约责任 2.1.中标人应按照本合同规定的时间、地点交货和提供相关服务。在履行合同过程中，如果中标人遇到可能影响按时交货和提供服务的情形时，应及时以书面形式将迟延的事实、可能迟延的期限和理由通知采购人。采购人在收到中标人通知后，应尽快对情况进行评价，并确定是否同意延长交货时间或延期提供服务。 2.2.如果中标人没有按照合同规定的时间交货和提供相关服务，采购人有权从货款中扣除误期赔偿费而不影响合同项下的其他补救方法，赔偿费的计算方法为：未经同意逾期交货的，中标人按日支付逾期交货部分货款万分之三的违约金，累计总额不超过该部分货款的10%；逾期超过30日，采购人有权解除合同，中标人应退还全部已收款，并支付合同总价10%的违约金。 3.权利瑕疵责任 如货物存在知识产权等权利瑕疵导致采购人无法使用或被追责，中标人应退还全部款项，支付合同总价10%违约金，并赔偿采购人全部实际损失（包括律师费、行政处罚等）。 4.迟延支付的违约责任 采购人存在迟延支付中标人合同款项的，应当支付逾期付款利息，计算方法为：采购人应在验收合格后10个工作日内完成付款，最迟不得超过60日。中标人应在采购人付款前向采购人开具合法有效的增值税专用发票，因中标人未及时提供发票导致付款延迟的，采购人不承担违约责任。采购人逾期付款的，应自逾期之日（最迟支付日）起，按日向中标人支付逾期付款金额万分之三的违约金，违约金总额不超过逾期付款金额的10%。 5.违法分包、转包的违约责任 中标人将项目转包、违法分包的，采购人可以解除合同，并要求中标人承担如下违约责任： 5.1退还采购人已支付的全部款项； 5.2支付合同总价15%的违约金； 5.3赔偿采购人因此遭受的实际损失（包括但不限于重新采购费用、审计整改成本、第三方索赔及律师费）。 解决争议的方法： 1.因本合同及合同有关事项发生的争议，由双方友好协商解决。协商不成时，可以向有关组织申请调解。合同一方或双方不愿调解或调解不成的，可以通过仲裁或诉讼的方式解决争议。 2.选择仲裁的，应在采购人所在地仲裁机构及仲裁地；通过诉讼方式解决的，向采购人所在地人民法院提请诉讼，但管辖法院的约定不得违反级别管辖和专属管辖的规定。 3.如双方有争议的事项不影响合同其他部分的履行，在争议解决期间，合同其他部分应当继续履行。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需编制运输安装专项方案，明确精密检测仪器防震、防潮、防碰撞的运输防护标准，规范到货开箱核验、主机及配套配件清点、现场设备就位与系统初始化全流程作业要求，保障设备完好无损、按期完成交付安装。 2、投标人需编制安全应急预案，覆盖运输装卸、室内调试、户外现场检测全作业场景，针对供电异常、设备突发故障、环境温湿度变化、操作失误等各类风险制定分级处置流程与响应机制，明确作业安全规范，保障设备与人员作业安全。 3、投标人需编制质量保证措施方案，建立出厂质检、运输管控、现场调试、验收复核全环节闭环管控体系，严格对标招标文件技术要求与对应行业检测标准逐项核验，确保设备整体性能与检测功能全面达标，设备质量可追溯、可核验。 4、投标人需编制调试培训实施方案，明确设备功能调试、性能校验、整机联调的分步作业流程，结合校内实训教学需求，设置基础操作、检测功能实操、规范应用、日常维护保养四大培训模块，保障参训人员能够独立规范开展检测作业。 5、投标人需编制故障报修服务方案，明确电话、线上工作群等多渠道报修受理路径，规范故障登记、研判分派、远程排查、现场处置的标准化全流程，按故障等级明确对应响应时效与处理时限，覆盖日常技术咨询与突发硬件故障全场景，保障服务响应及时、全程可追溯。 6、投标人需编制故障处置保障方案，针对设备常见的操作异常、功能故障、参数偏差等问题建立标准化处置库，实现问题快速定位与高效解决；严格执行故障排查、修复调试、性能核验、效果回访的闭环管理机制，配套备用设备兜底保障措施，确保问题解决彻底、设备运行稳定。 7、投标人需编制售后服务体系建设方案，明确专属项目服务团队架构与岗位职责，建立7×24小时技术值守、定期回访巡检、系统软件升级、质保期运维等配套管理制度，保障项目全周期售后服务规范落地、持续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或者提供下述资料之一并进行电子签章：①可提供近三年（任意一年）投标人经审计的完整有效的财务报告复印件；②也可提供近三年（任意一年）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为采购项目提供整体设计、规范编制或者项目管理、监理、检测等服务的投标人，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产品制造商为中小企业时应当提供《中小企业声明函》。产品制造商为监狱企业时应当提供监狱企业的证明文件，产品制造商为残疾人福利性单位时应当提供《残疾人福利性单位声明函》。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1.不存在投标文件的语言、计量单位、知识产权、响应有效期、投标报价等不符合采购文件的规定，影响评审小组评判的。 2.在应答表中对技术要求、服务要求、其他要求中的实质性要求逐项进行完整应答的，或不存在应答内容与采购文件要求不符的，或不存在按要求提供相应的证明材料或单独承诺函等支撑材料的。 3.不存在未载明或者载明的采购项目履约时间、方式、数量及其他政府采购合同实质性内容与本采购文件要求不一致，且采购单位无法接受的。 4. 不存在属于采购文件中无效响应情形的。</w:t>
            </w:r>
          </w:p>
        </w:tc>
        <w:tc>
          <w:tcPr>
            <w:tcW w:type="dxa" w:w="1661"/>
          </w:tcPr>
          <w:p>
            <w:pPr>
              <w:pStyle w:val="null3"/>
              <w:jc w:val="left"/>
            </w:pPr>
            <w:r>
              <w:rPr>
                <w:rFonts w:ascii="仿宋_GB2312" w:hAnsi="仿宋_GB2312" w:cs="仿宋_GB2312" w:eastAsia="仿宋_GB2312"/>
              </w:rPr>
              <w:t>产品技术参数响应表,投标文件封面,报价表,投标（响应）函,服务要求应答表(公开招标）.docx,投标人需要进行承诺的实质性要求的承诺函（公开招标格式）.docx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详细评审64.00分</w:t>
            </w:r>
          </w:p>
          <w:p>
            <w:pPr>
              <w:pStyle w:val="null3"/>
              <w:jc w:val="left"/>
            </w:pPr>
            <w:r>
              <w:rPr>
                <w:rFonts w:ascii="仿宋_GB2312" w:hAnsi="仿宋_GB2312" w:cs="仿宋_GB2312" w:eastAsia="仿宋_GB2312"/>
              </w:rPr>
              <w:t>报价得分36.00分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投标人投标文件完全满足招标文件“技术参数与性能指标”的得43分；投标人投标文件与招标文件技术参数要求中的“技术参数与性能指标”有负偏离的，按以下方式计算得分： 1.一般条款得分=（投标人满足一般条款的数量÷一般条款的总数量）×23分； 2.“▲”条款得分=（投标人满足“▲”条款的数量÷“▲”条款的总数量）×20分； 3.响应投标人此项得分=一般条款得分＋“▲”条款得分； 注：本项所述的条款数量按以下原则计算：（1）无子项的条款：以每项条款为1项进行计算；（2）有子项的条款：以最末级的子项为1项进行计算。（1.“▲”条款参数若要求提供对应证明材料，应按要求提供；若未要求提供证明材料，响应时需提供相对应产品的说明书或国家认可的第三方检测机构出具的检测报告，未按要求提供相关证明材料或虽提供但无法证明的，则视为负偏离；2.非“▲”条款参数中有明确要求的按要求提供相关证明材料；3.“★”条款参数不参与计分。 4.如“▲”技术参数或一般技术参数计算得分后有小数的，按四舍五入法保留小数点后两位。</w:t>
            </w:r>
          </w:p>
        </w:tc>
        <w:tc>
          <w:tcPr>
            <w:tcW w:type="dxa" w:w="831"/>
          </w:tcPr>
          <w:p>
            <w:pPr>
              <w:pStyle w:val="null3"/>
              <w:jc w:val="center"/>
            </w:pPr>
            <w:r>
              <w:rPr>
                <w:rFonts w:ascii="仿宋_GB2312" w:hAnsi="仿宋_GB2312" w:cs="仿宋_GB2312" w:eastAsia="仿宋_GB2312"/>
              </w:rPr>
              <w:t>43.0000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根据投标人提供针对本项目的实施方案应包括以下方案： （1）运输安装； （2）安全应急预案； （3）质量保证措施； （4）调试培训内容； 以上方案内容齐全且无缺陷的得8分，每有一项内容缺失扣2分，每有一项不合理的扣1分，直至本项分值扣完为止。 注：“不合理”是指： 1.项目名称、招标人名称、地点区域错误，进度计划超期； 2.方案内容与服务、商务要求不一致（服务、商务表应答正确，但在售后服务方案中出现不一致的描述）； 3.仅有框架或标题、直接复制采购需求的； 4.文案逻辑前后不一致，各单条方案之间逻辑抵触； 5.明显复制其他项目内容，有其他项目名称内容的表述。</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售后服务方案及售后服务能力</w:t>
            </w:r>
          </w:p>
        </w:tc>
        <w:tc>
          <w:tcPr>
            <w:tcW w:type="dxa" w:w="2575"/>
          </w:tcPr>
          <w:p>
            <w:pPr>
              <w:pStyle w:val="null3"/>
              <w:jc w:val="left"/>
            </w:pPr>
            <w:r>
              <w:rPr>
                <w:rFonts w:ascii="仿宋_GB2312" w:hAnsi="仿宋_GB2312" w:cs="仿宋_GB2312" w:eastAsia="仿宋_GB2312"/>
              </w:rPr>
              <w:t>一、根据投标人提供针对本项目的售后服务方案及售后服务能力应包括以下方案： （1）故障报修的服务流程、速度； （2）解决措施的效率和完整性； （3）售后服务体系及相关制度； 以上方案内容齐全且无缺陷的得3分，每有一项内容缺失扣1分，每有一项不合理的扣0.5分，直至本项分值扣完为止。 注：“不合理”是指： 1.项目名称、招标人名称、地点区域错误，进度计划超期； 2.方案内容与服务、商务要求不一致（服务、商务表应答正确，但在售后服务方案中出现不一致的描述）； 3.仅有框架或标题、直接复制采购需求的； 4.文案逻辑前后不一致，各单条方案之间逻辑抵触； 5.明显复制其他项目内容，有其他项目名称内容的表述。 二、投标人在满足本项目质量保修范围和保修期要求里质保期1年的基础上，承诺延长1年质保期的得2分；承诺延长2年质保期的得4分；承诺延长3年质保期的得6分，本项最多得6分。注：承诺函格式自拟并进行电子签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投标人自2022年1月1日（含1日，以合同签订时间为准）以来每提供一个类似项目业绩的得2分，本项最多得4分。 注：提供合同影印件并加盖公章。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满足招标文件要求且报价最低的为评审基准价，价格得分=（评审基准价÷报价）×36分。 注：四舍五入保留两位小数点。</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详见附件：服务要求应答表(公开招标）.docx</w:t>
      </w:r>
    </w:p>
    <w:p>
      <w:pPr>
        <w:pStyle w:val="null3"/>
        <w:ind w:firstLine="960"/>
        <w:jc w:val="left"/>
      </w:pPr>
      <w:r>
        <w:rPr>
          <w:rFonts w:ascii="仿宋_GB2312" w:hAnsi="仿宋_GB2312" w:cs="仿宋_GB2312" w:eastAsia="仿宋_GB2312"/>
        </w:rPr>
        <w:t>详见附件：投标人需要进行承诺的实质性要求的承诺函（公开招标格式）.docx</w:t>
      </w:r>
    </w:p>
    <w:p>
      <w:pPr>
        <w:pStyle w:val="null3"/>
        <w:ind w:firstLine="960"/>
        <w:jc w:val="left"/>
      </w:pPr>
      <w:r>
        <w:rPr>
          <w:rFonts w:ascii="仿宋_GB2312" w:hAnsi="仿宋_GB2312" w:cs="仿宋_GB2312" w:eastAsia="仿宋_GB2312"/>
        </w:rPr>
        <w:t>详见附件：评分标准需提供的相关资料(公开招标）.docx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