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版本号：N510001202600145020260615002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七氟丙烷气体灭火系统气瓶检测采购项目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N5100012026001450</w:t>
      </w:r>
    </w:p>
    <w:p>
      <w:pPr>
        <w:pStyle w:val="null3"/>
        <w:jc w:val="left"/>
        <w:outlineLvl w:val="2"/>
      </w:pPr>
      <w:r>
        <w:rPr>
          <w:rFonts w:ascii="仿宋_GB2312" w:hAnsi="仿宋_GB2312" w:cs="仿宋_GB2312" w:eastAsia="仿宋_GB2312"/>
          <w:sz w:val="28"/>
          <w:b/>
        </w:rPr>
        <w:t>四川轻化工大学</w:t>
      </w:r>
    </w:p>
    <w:p>
      <w:pPr>
        <w:pStyle w:val="null3"/>
        <w:jc w:val="center"/>
        <w:outlineLvl w:val="2"/>
      </w:pPr>
      <w:r>
        <w:rPr>
          <w:rFonts w:ascii="仿宋_GB2312" w:hAnsi="仿宋_GB2312" w:cs="仿宋_GB2312" w:eastAsia="仿宋_GB2312"/>
          <w:sz w:val="28"/>
          <w:b/>
        </w:rPr>
        <w:t>四川宗兴国际招标有限公司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四川宗兴国际招标有限公司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四川轻化工大学</w:t>
      </w:r>
      <w:r>
        <w:rPr>
          <w:rFonts w:ascii="仿宋_GB2312" w:hAnsi="仿宋_GB2312" w:cs="仿宋_GB2312" w:eastAsia="仿宋_GB2312"/>
        </w:rPr>
        <w:t xml:space="preserve"> 委托，拟对 </w:t>
      </w:r>
      <w:r>
        <w:rPr>
          <w:rFonts w:ascii="仿宋_GB2312" w:hAnsi="仿宋_GB2312" w:cs="仿宋_GB2312" w:eastAsia="仿宋_GB2312"/>
        </w:rPr>
        <w:t>七氟丙烷气体灭火系统气瓶检测采购项目</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N5100012026001450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七氟丙烷气体灭火系统气瓶检测采购项目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四川轻化工大学李白河校区、汇东校区、宜宾校区七氟丙烷气体灭火系统气瓶检测，检测七氟丙烷钢质气瓶250个、氮气钢质气瓶19个和补充七氟丙烷药剂5160公斤。供应商提供的检测服务，需符合《气瓶安全技术规程》相关规定，确保学校七氟丙烷气体灭火系统3年安全运行与灭火效能。在检测期间，按气体灭火系统设计规范（GB50370-2005）第3.1.7规定，灭火系统的储存装置72小时内不能重新充装恢复工作的，应按系统原储存量的100%配置备用量，确保原灭火系统能正常使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具备有效的《中华人民共和国特种设备检验检测机构核准证》【核准项目代码：“RD6(包含无缝钢瓶和焊接钢瓶)”】（描述：供应商应具备有效的《中华人民共和国特种设备检验检测机构核准证》【核准项目代码：“RD6(包含无缝钢瓶和焊接钢瓶)”】供应商提供证书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四川轻化工大学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自贡市自流井区汇兴路519号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08135505560</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四川宗兴国际招标有限公司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沿滩区-高新区板仓工业园区荣川路8号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028-85234350-805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采购包1：589,000.00元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交款方式：银行转账，支票、汇票、本票，保函</w:t>
              <w:br/>
              <w:t>收款单位：四川轻化工大学</w:t>
              <w:br/>
              <w:t>开户银行：中国农业银行股份有限公司自贡学院路支行</w:t>
              <w:br/>
              <w:t>银行账号：22106101040000035</w:t>
              <w:br/>
              <w:t>交款时间：成交通知书发出后，政府采购合同签订前。</w:t>
              <w:br/>
              <w:t>履约保证金退还方式：项目实施完成，验收合格后，采购人接到中标人通知和支付凭证资料文件后无息退还。</w:t>
              <w:br/>
              <w:t>履约保证金不予退还情形：未按合同履约不退还。</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代理服务费收费标准：成交金额*0.7%</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四川轻化工大学</w:t>
      </w:r>
      <w:r>
        <w:rPr>
          <w:rFonts w:ascii="仿宋_GB2312" w:hAnsi="仿宋_GB2312" w:cs="仿宋_GB2312" w:eastAsia="仿宋_GB2312"/>
        </w:rPr>
        <w:t xml:space="preserve"> 和 </w:t>
      </w:r>
      <w:r>
        <w:rPr>
          <w:rFonts w:ascii="仿宋_GB2312" w:hAnsi="仿宋_GB2312" w:cs="仿宋_GB2312" w:eastAsia="仿宋_GB2312"/>
        </w:rPr>
        <w:t>四川宗兴国际招标有限公司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四川轻化工大学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四川宗兴国际招标有限公司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成交供应商提出验收申请之日起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对成交供应商提供的检测服务以及其他商务内容进行验收。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按采购文件、成交供应商响应文件应答参数、成交供应商提供的检测服务及双方合同约定进行验收。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按采购文件、成交供应商响应文件应答内容及双方合同约定进行验收。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质量要求和技术指标、中标供应商的投标文件及承诺与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四川轻化工大学</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联系人：代老师</w:t>
      </w:r>
    </w:p>
    <w:p>
      <w:pPr>
        <w:pStyle w:val="null3"/>
        <w:jc w:val="left"/>
      </w:pPr>
      <w:r>
        <w:rPr>
          <w:rFonts w:ascii="仿宋_GB2312" w:hAnsi="仿宋_GB2312" w:cs="仿宋_GB2312" w:eastAsia="仿宋_GB2312"/>
        </w:rPr>
        <w:t>联系电话：0813-5505560</w:t>
      </w:r>
    </w:p>
    <w:p>
      <w:pPr>
        <w:pStyle w:val="null3"/>
        <w:jc w:val="left"/>
      </w:pPr>
      <w:r>
        <w:rPr>
          <w:rFonts w:ascii="仿宋_GB2312" w:hAnsi="仿宋_GB2312" w:cs="仿宋_GB2312" w:eastAsia="仿宋_GB2312"/>
        </w:rPr>
        <w:t>地址：自贡市自流井区汇兴路519号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联系电话：028-85234350-805</w:t>
      </w:r>
    </w:p>
    <w:p>
      <w:pPr>
        <w:pStyle w:val="null3"/>
        <w:jc w:val="left"/>
      </w:pPr>
      <w:r>
        <w:rPr>
          <w:rFonts w:ascii="仿宋_GB2312" w:hAnsi="仿宋_GB2312" w:cs="仿宋_GB2312" w:eastAsia="仿宋_GB2312"/>
        </w:rPr>
        <w:t>地址：沿滩区-高新区板仓工业园区荣川路8号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589,000.00</w:t>
      </w:r>
    </w:p>
    <w:p>
      <w:pPr>
        <w:pStyle w:val="null3"/>
        <w:jc w:val="left"/>
      </w:pPr>
      <w:r>
        <w:rPr>
          <w:rFonts w:ascii="仿宋_GB2312" w:hAnsi="仿宋_GB2312" w:cs="仿宋_GB2312" w:eastAsia="仿宋_GB2312"/>
        </w:rPr>
        <w:t>采购包最高限价（元）: 589,000.00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C23121100 消防设备维修和保养服务</w:t>
            </w:r>
          </w:p>
        </w:tc>
        <w:tc>
          <w:tcPr>
            <w:tcW w:type="dxa" w:w="821"/>
          </w:tcPr>
          <w:p>
            <w:pPr>
              <w:pStyle w:val="null3"/>
              <w:jc w:val="left"/>
            </w:pPr>
            <w:r>
              <w:rPr>
                <w:rFonts w:ascii="仿宋_GB2312" w:hAnsi="仿宋_GB2312" w:cs="仿宋_GB2312" w:eastAsia="仿宋_GB2312"/>
              </w:rPr>
              <w:t>七氟丙烷气体灭火系统气瓶检测采购项目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589,000.00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七氟丙烷气体灭火系统气瓶检测采购项目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589,000.00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报价应是最终用户验收合格后的总价，包括但不限于包装、运输、安装调试、保险、风险、所有税费、验收合格交付使用及保修期内保修服务与备用物件和谈判文件规定的其它全部费用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标的名称：七氟丙烷气体灭火系统气瓶检测采购项目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七氟丙烷气体灭火系统气瓶检测采购项目</w:t>
            </w:r>
          </w:p>
        </w:tc>
        <w:tc>
          <w:tcPr>
            <w:tcW w:type="dxa" w:w="5814"/>
          </w:tcPr>
          <w:p>
            <w:pPr>
              <w:pStyle w:val="null3"/>
              <w:ind w:firstLine="500"/>
              <w:jc w:val="both"/>
            </w:pPr>
            <w:r>
              <w:rPr>
                <w:rFonts w:ascii="仿宋_GB2312" w:hAnsi="仿宋_GB2312" w:cs="仿宋_GB2312" w:eastAsia="仿宋_GB2312"/>
                <w:sz w:val="21"/>
              </w:rPr>
              <w:t>1.对七氟丙烷气体灭火系统的钢瓶及其附件拆卸、运输、检测、安装及调试，检测后的钢瓶要加盖永久性的检测钢印标识，并出具钢瓶的合格检测报告；如有检测不合格的则由供应商向采购人进行汇报，由采购人负责后续处置。</w:t>
            </w:r>
          </w:p>
          <w:p>
            <w:pPr>
              <w:pStyle w:val="null3"/>
              <w:ind w:firstLine="500"/>
              <w:jc w:val="both"/>
            </w:pPr>
            <w:r>
              <w:rPr>
                <w:rFonts w:ascii="仿宋_GB2312" w:hAnsi="仿宋_GB2312" w:cs="仿宋_GB2312" w:eastAsia="仿宋_GB2312"/>
                <w:sz w:val="21"/>
              </w:rPr>
              <w:t>2.现场拆除七氟丙烷气体灭火</w:t>
            </w:r>
            <w:r>
              <w:rPr>
                <w:rFonts w:ascii="仿宋_GB2312" w:hAnsi="仿宋_GB2312" w:cs="仿宋_GB2312" w:eastAsia="仿宋_GB2312"/>
                <w:sz w:val="21"/>
              </w:rPr>
              <w:t>钢</w:t>
            </w:r>
            <w:r>
              <w:rPr>
                <w:rFonts w:ascii="仿宋_GB2312" w:hAnsi="仿宋_GB2312" w:cs="仿宋_GB2312" w:eastAsia="仿宋_GB2312"/>
                <w:sz w:val="21"/>
              </w:rPr>
              <w:t>瓶组应进行称重记录，称重确认表由采购人与供应商双方确认签字。</w:t>
            </w:r>
          </w:p>
          <w:p>
            <w:pPr>
              <w:pStyle w:val="null3"/>
              <w:ind w:firstLine="500"/>
              <w:jc w:val="both"/>
            </w:pPr>
            <w:r>
              <w:rPr>
                <w:rFonts w:ascii="仿宋_GB2312" w:hAnsi="仿宋_GB2312" w:cs="仿宋_GB2312" w:eastAsia="仿宋_GB2312"/>
                <w:sz w:val="21"/>
              </w:rPr>
              <w:t>3.现场拆除后对瓶组内七氟丙烷灭火剂进行抽样采集，并提供原始检测数据。留样气体经采购人确定后应立即封存，由采购人保管。</w:t>
            </w:r>
          </w:p>
          <w:p>
            <w:pPr>
              <w:pStyle w:val="null3"/>
              <w:ind w:firstLine="500"/>
              <w:jc w:val="both"/>
            </w:pPr>
            <w:r>
              <w:rPr>
                <w:rFonts w:ascii="仿宋_GB2312" w:hAnsi="仿宋_GB2312" w:cs="仿宋_GB2312" w:eastAsia="仿宋_GB2312"/>
                <w:sz w:val="21"/>
              </w:rPr>
              <w:t>4.七氟丙烷灭火剂质量应符合国家标准，需补充的检测过程中相应损耗量的七氟丙烷灭火剂由供应商进行补充。补充的药剂需符合国家标准。七氟丙烷灭火剂充装后须满足现有防护区的灭火要求。</w:t>
            </w:r>
          </w:p>
          <w:p>
            <w:pPr>
              <w:pStyle w:val="null3"/>
              <w:ind w:firstLine="500"/>
              <w:jc w:val="both"/>
            </w:pPr>
            <w:r>
              <w:rPr>
                <w:rFonts w:ascii="仿宋_GB2312" w:hAnsi="仿宋_GB2312" w:cs="仿宋_GB2312" w:eastAsia="仿宋_GB2312"/>
                <w:sz w:val="21"/>
              </w:rPr>
              <w:t>5.七氟丙烷气体灭火钢瓶组及附件检测合格后将合格的七氟丙烷灭火剂装回相应瓶组，补足损耗部分药剂量（损耗部分不超过气瓶标准充装量的20%），并在瓶组标明七氟丙烷灭火剂充装量，损耗量以检测前后的称重量为依据，由双方现场确认。</w:t>
            </w:r>
          </w:p>
          <w:p>
            <w:pPr>
              <w:pStyle w:val="null3"/>
              <w:ind w:firstLine="500"/>
              <w:jc w:val="both"/>
            </w:pPr>
            <w:r>
              <w:rPr>
                <w:rFonts w:ascii="仿宋_GB2312" w:hAnsi="仿宋_GB2312" w:cs="仿宋_GB2312" w:eastAsia="仿宋_GB2312"/>
                <w:sz w:val="21"/>
              </w:rPr>
              <w:t>6.压力充装到标准值并观察72小时无泄漏后再送到现场进行安装、并投入使用。</w:t>
            </w:r>
          </w:p>
          <w:p>
            <w:pPr>
              <w:pStyle w:val="null3"/>
              <w:ind w:firstLine="500"/>
              <w:jc w:val="both"/>
            </w:pPr>
            <w:r>
              <w:rPr>
                <w:rFonts w:ascii="仿宋_GB2312" w:hAnsi="仿宋_GB2312" w:cs="仿宋_GB2312" w:eastAsia="仿宋_GB2312"/>
                <w:sz w:val="21"/>
              </w:rPr>
              <w:t>7.七氟丙烷气体灭火钢瓶组拆除以及安装期间，应与采购人使用部门、采购人消防维保单位以及消防控制室值班人员做好相应衔接工作。</w:t>
            </w:r>
          </w:p>
          <w:p>
            <w:pPr>
              <w:pStyle w:val="null3"/>
              <w:ind w:firstLine="500"/>
              <w:jc w:val="both"/>
            </w:pPr>
            <w:r>
              <w:rPr>
                <w:rFonts w:ascii="仿宋_GB2312" w:hAnsi="仿宋_GB2312" w:cs="仿宋_GB2312" w:eastAsia="仿宋_GB2312"/>
                <w:sz w:val="21"/>
              </w:rPr>
              <w:t>8.按照现有气体灭火防护区内气体灭火设备用量提供1：1的临时替用七氟丙烷气体钢瓶及氮气钢瓶，保证在检测服务期间气体灭火系统的正常使用。供应商应保证临时瓶的规格、接口、启动方式等与采购人原系统匹配且符合国家相关标准要求。</w:t>
            </w:r>
          </w:p>
          <w:p>
            <w:pPr>
              <w:pStyle w:val="null3"/>
              <w:ind w:firstLine="500"/>
              <w:jc w:val="both"/>
            </w:pPr>
            <w:r>
              <w:rPr>
                <w:rFonts w:ascii="仿宋_GB2312" w:hAnsi="仿宋_GB2312" w:cs="仿宋_GB2312" w:eastAsia="仿宋_GB2312"/>
                <w:sz w:val="21"/>
              </w:rPr>
              <w:t>9.气体灭火防护区域提供相应的其他灭火器材（如ABC干粉灭火器、消防砂、防火毯等）和防护措施，确保气体防护区域在检测期间的消防安全。</w:t>
            </w:r>
          </w:p>
          <w:p>
            <w:pPr>
              <w:pStyle w:val="null3"/>
              <w:ind w:firstLine="500"/>
              <w:jc w:val="both"/>
            </w:pPr>
            <w:r>
              <w:rPr>
                <w:rFonts w:ascii="仿宋_GB2312" w:hAnsi="仿宋_GB2312" w:cs="仿宋_GB2312" w:eastAsia="仿宋_GB2312"/>
                <w:sz w:val="21"/>
              </w:rPr>
              <w:t>10.检测完成后需提供合法、有效、真实的检测报告，报告内容包括且不限于灭火剂纯度、瓶组检验数据、是否能继续使用等内容。</w:t>
            </w:r>
          </w:p>
          <w:p>
            <w:pPr>
              <w:pStyle w:val="null3"/>
              <w:ind w:firstLine="500"/>
              <w:jc w:val="both"/>
            </w:pPr>
            <w:r>
              <w:rPr>
                <w:rFonts w:ascii="仿宋_GB2312" w:hAnsi="仿宋_GB2312" w:cs="仿宋_GB2312" w:eastAsia="仿宋_GB2312"/>
                <w:sz w:val="21"/>
              </w:rPr>
              <w:t>11.七氟丙烷气体灭火钢瓶检测完毕后应确保瓶身相关标识清晰、完整、不能被覆盖。</w:t>
            </w:r>
          </w:p>
          <w:p>
            <w:pPr>
              <w:pStyle w:val="null3"/>
              <w:ind w:firstLine="500"/>
              <w:jc w:val="both"/>
            </w:pPr>
            <w:r>
              <w:rPr>
                <w:rFonts w:ascii="仿宋_GB2312" w:hAnsi="仿宋_GB2312" w:cs="仿宋_GB2312" w:eastAsia="仿宋_GB2312"/>
                <w:sz w:val="21"/>
              </w:rPr>
              <w:t>12.七氟丙烷气体灭火钢瓶检测完成后应分别对每个气瓶出具国家法律认可的气瓶检验报告、瓶内灭火剂纯度及重量的检测报告。</w:t>
            </w:r>
          </w:p>
          <w:p>
            <w:pPr>
              <w:pStyle w:val="null3"/>
              <w:ind w:firstLine="500"/>
              <w:jc w:val="left"/>
            </w:pPr>
            <w:r>
              <w:rPr>
                <w:rFonts w:ascii="仿宋_GB2312" w:hAnsi="仿宋_GB2312" w:cs="仿宋_GB2312" w:eastAsia="仿宋_GB2312"/>
                <w:sz w:val="21"/>
              </w:rPr>
              <w:t>13.本项目充装的七氟丙烷灭火剂必须符合国家相关技术规范要求，充装完成后除提供本项目要求的灭火剂检测报告外还应提供</w:t>
            </w:r>
            <w:r>
              <w:rPr>
                <w:rFonts w:ascii="仿宋_GB2312" w:hAnsi="仿宋_GB2312" w:cs="仿宋_GB2312" w:eastAsia="仿宋_GB2312"/>
                <w:sz w:val="21"/>
              </w:rPr>
              <w:t>自本项目充装之日起近两月生产的合格证</w:t>
            </w:r>
            <w:r>
              <w:rPr>
                <w:rFonts w:ascii="仿宋_GB2312" w:hAnsi="仿宋_GB2312" w:cs="仿宋_GB2312" w:eastAsia="仿宋_GB2312"/>
                <w:sz w:val="21"/>
              </w:rPr>
              <w:t>原件（合格证中包含的灭火剂数量应满足本项目结算的灭火剂数量）。</w:t>
            </w:r>
          </w:p>
          <w:p>
            <w:pPr>
              <w:pStyle w:val="null3"/>
              <w:ind w:firstLine="500"/>
              <w:jc w:val="both"/>
            </w:pPr>
            <w:r>
              <w:rPr>
                <w:rFonts w:ascii="仿宋_GB2312" w:hAnsi="仿宋_GB2312" w:cs="仿宋_GB2312" w:eastAsia="仿宋_GB2312"/>
                <w:sz w:val="21"/>
              </w:rPr>
              <w:t>14.氮气驱动气瓶检测充装，并出具氮气驱动气瓶检测报告。</w:t>
            </w:r>
          </w:p>
          <w:p>
            <w:pPr>
              <w:pStyle w:val="null3"/>
              <w:ind w:firstLine="500"/>
              <w:jc w:val="both"/>
            </w:pPr>
            <w:r>
              <w:rPr>
                <w:rFonts w:ascii="仿宋_GB2312" w:hAnsi="仿宋_GB2312" w:cs="仿宋_GB2312" w:eastAsia="仿宋_GB2312"/>
                <w:sz w:val="21"/>
              </w:rPr>
              <w:t>15.供应商在拆除及安装气瓶等一系列工作流程中，应对七氟丙烷气体灭火系统及气瓶所有安全事件负全部责任。</w:t>
            </w:r>
          </w:p>
          <w:p>
            <w:pPr>
              <w:pStyle w:val="null3"/>
              <w:ind w:firstLine="500"/>
              <w:jc w:val="both"/>
            </w:pPr>
            <w:r>
              <w:rPr>
                <w:rFonts w:ascii="仿宋_GB2312" w:hAnsi="仿宋_GB2312" w:cs="仿宋_GB2312" w:eastAsia="仿宋_GB2312"/>
                <w:sz w:val="21"/>
              </w:rPr>
              <w:t>16.在检测期间，中标供应商按气体灭火系统设</w:t>
            </w:r>
            <w:r>
              <w:rPr>
                <w:rFonts w:ascii="仿宋_GB2312" w:hAnsi="仿宋_GB2312" w:cs="仿宋_GB2312" w:eastAsia="仿宋_GB2312"/>
                <w:sz w:val="21"/>
              </w:rPr>
              <w:t>计规范（GB50370-2005）第3.1.7规定，应按该系统原储存量的100%配置备用七氟丙烷钢质</w:t>
            </w:r>
            <w:r>
              <w:rPr>
                <w:rFonts w:ascii="仿宋_GB2312" w:hAnsi="仿宋_GB2312" w:cs="仿宋_GB2312" w:eastAsia="仿宋_GB2312"/>
                <w:sz w:val="21"/>
              </w:rPr>
              <w:t>气瓶250个、氮气钢质气瓶</w:t>
            </w:r>
            <w:r>
              <w:rPr>
                <w:rFonts w:ascii="仿宋_GB2312" w:hAnsi="仿宋_GB2312" w:cs="仿宋_GB2312" w:eastAsia="仿宋_GB2312"/>
                <w:sz w:val="21"/>
              </w:rPr>
              <w:t>19个，确保原灭火系统能正常使用。</w:t>
            </w:r>
          </w:p>
          <w:p>
            <w:pPr>
              <w:pStyle w:val="null3"/>
              <w:spacing w:before="105" w:after="105"/>
              <w:ind w:firstLine="500"/>
              <w:jc w:val="both"/>
            </w:pPr>
            <w:r>
              <w:rPr>
                <w:rFonts w:ascii="仿宋_GB2312" w:hAnsi="仿宋_GB2312" w:cs="仿宋_GB2312" w:eastAsia="仿宋_GB2312"/>
                <w:sz w:val="21"/>
              </w:rPr>
              <w:t>17.七氟丙烷气体灭火系统位置等信息详见附件。</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合同签订生效之日起30个工作日内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四川轻化工大学李白河校区、汇东校区、宜宾校区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采购文件的要求、中标（成交）供应商的投标（响应）文件及承诺与合同约定的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服务费，七氟丙烷气体灭火系统气瓶检测服务全部完成并验收合格，供应商接到采购人通知，供应商按要求出具的合法、有效、完整的全额增值税专用发票，采购人核实无误后，达到付款条件30日内，支付合同总金额的100%【因模板格式限制，付款进度安排以前述为准】，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以下采购人统称“甲方”，供应商统称“乙方” 1. 乙方未按合同约定工期完成全部气瓶检测服务、未按时交付检测成果资料的，每逾期一日，应按合同总金额的0.5‰向甲方支付违约金，逾期累计超过15日的，甲方有权单方解除合同，乙方须退还甲方已支付的全部款项，并承担由此给甲方造成的一切损失。 2. 若乙方出具的检测报告存在数据造假、结论错误、资料不实、不符合国家及行业现行规范等质量问题，导致项目无法通过消防验收、专项核查、日常监管检查的，乙方须无条件复检、整改修正，并按合同总金额的10%向甲方支付违约金。若因此造成甲方被行政处罚、项目整改、经济赔偿、名誉损失等一切损失，均由乙方全额承担。 3. 质保期内，乙方未按要求响应甲方整改通知、拒不提供质保服务、整改后仍无法达到合规标准的，乙方需承担合同总金额15%的违约金，不足以弥补甲方损失的，乙方另行补足差额。 4.权利瑕疵责任 如货物存在知识产权等权利瑕疵导致甲方无法使用或被追责，乙方应退还全部款项，支付合同总价10%违约金，并赔偿甲方全部实际损失（包括律师费、行政处罚等）。 5.迟延支付的违约责任 甲方存在迟延支付乙方合同款项的，应当支付逾期付款利息，计算方法为：甲方应在验收合格后30个工作日内完成付款，最迟不得超过60日。乙方应在甲方付款前向甲方开具合法有效的增值税专用发票，因乙方未及时提供发票导致付款延迟的，甲方不承担违约责任。甲方逾期付款的，应自逾期之日起，按日向乙方支付逾期付款金额万分之三的违约金，违约金总额不超过逾期付款金额的10%。 6.违法分包、转包的违约责任 乙方将项目转包、违法分包的，甲方可以解除合同，并要求乙方承担如下违约责任： 6.1退还甲方已支付的全部款项； 6.2支付合同总价15%的违约金； 6.3赔偿甲方因此遭受的实际损失（包括但不限于重新采购费用、审计整改成本、第三方索赔及律师费）。 7.争议解决办法 （1）因本合同及合同有关事项发生的争议，由甲乙双方友好协商解决。协商不成时，可以向有关组织申请调解。合同一方或双方不愿调解或调解不成的，可以通过仲裁或诉讼的方式解决争议。 (2)选择仲裁的，应在甲方所在地仲裁机构及仲裁地；通过诉讼方式解决的，向甲方所在地人民法院提请诉讼，但管辖法院的约定不得违反级别管辖和专属管辖的规定。 (3)如甲乙双方有争议的事项不影响合同其他部分的履行，在争议解决期间，合同其他部分应当继续履行。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1、供应商需在使用投标(响应)客户端编制投标文件时，按要求填写《投标（响应）函》完成承诺并进行电子签章。 2、提供相关证明材料：①若供应商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响应文件封面,投标（响应）函,具有独立承担民事责任的能力的证明材料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1、供应商需在使用投标（响应）客户端编制投标文件时，按要求上传相应证明材料并进行电子签章。 2、提供相关证明材料（以下5项资料中，根据自身情况任意选择1项提供）：①可提供2023-2025年任意一年经审计的完整有效的财务报告复印件；②也可提供2023-2025年任意一年供应商内部的财务报表复印件（至少应包含资产负债表）；③也可提供截至投标文件提交截止之日前一年内银行出具的资信证明；④供应商注册时间截至投标文件提交截止之日前不足一年的，也可提供在相关主管部门备案的公司章程。⑤若供应商为个体工商户或自然人时，可提供承诺函（格式自拟）。</w:t>
            </w:r>
          </w:p>
        </w:tc>
        <w:tc>
          <w:tcPr>
            <w:tcW w:type="dxa" w:w="1661"/>
          </w:tcPr>
          <w:p>
            <w:pPr>
              <w:pStyle w:val="null3"/>
              <w:jc w:val="left"/>
            </w:pPr>
            <w:r>
              <w:rPr>
                <w:rFonts w:ascii="仿宋_GB2312" w:hAnsi="仿宋_GB2312" w:cs="仿宋_GB2312" w:eastAsia="仿宋_GB2312"/>
              </w:rPr>
              <w:t>具有健全的财务会计制度的证明材料,投标（响应）函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供应商应具备有效的《中华人民共和国特种设备检验检测机构核准证》【核准项目代码：“RD6(包含无缝钢瓶和焊接钢瓶)”】</w:t>
            </w:r>
          </w:p>
        </w:tc>
        <w:tc>
          <w:tcPr>
            <w:tcW w:type="dxa" w:w="3322"/>
          </w:tcPr>
          <w:p>
            <w:pPr>
              <w:pStyle w:val="null3"/>
              <w:jc w:val="left"/>
            </w:pPr>
            <w:r>
              <w:rPr>
                <w:rFonts w:ascii="仿宋_GB2312" w:hAnsi="仿宋_GB2312" w:cs="仿宋_GB2312" w:eastAsia="仿宋_GB2312"/>
              </w:rPr>
              <w:t>供应商应具备有效的《中华人民共和国特种设备检验检测机构核准证》【核准项目代码：“RD6(包含无缝钢瓶和焊接钢瓶)”】供应商提供证书复印件并进行电子签章。</w:t>
            </w:r>
          </w:p>
        </w:tc>
        <w:tc>
          <w:tcPr>
            <w:tcW w:type="dxa" w:w="1661"/>
          </w:tcPr>
          <w:p>
            <w:pPr>
              <w:pStyle w:val="null3"/>
              <w:jc w:val="left"/>
            </w:pPr>
            <w:r>
              <w:rPr>
                <w:rFonts w:ascii="仿宋_GB2312" w:hAnsi="仿宋_GB2312" w:cs="仿宋_GB2312" w:eastAsia="仿宋_GB2312"/>
              </w:rPr>
              <w:t>特定资格要求证明材料,投标（响应）函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需要供应商提供证明材料的实质性要求</w:t>
            </w:r>
          </w:p>
        </w:tc>
        <w:tc>
          <w:tcPr>
            <w:tcW w:type="dxa" w:w="3322"/>
          </w:tcPr>
          <w:p>
            <w:pPr>
              <w:pStyle w:val="null3"/>
              <w:jc w:val="left"/>
            </w:pPr>
            <w:r>
              <w:rPr>
                <w:rFonts w:ascii="仿宋_GB2312" w:hAnsi="仿宋_GB2312" w:cs="仿宋_GB2312" w:eastAsia="仿宋_GB2312"/>
              </w:rPr>
              <w:t>投标人提供证明材料</w:t>
            </w:r>
          </w:p>
        </w:tc>
        <w:tc>
          <w:tcPr>
            <w:tcW w:type="dxa" w:w="1661"/>
          </w:tcPr>
          <w:p>
            <w:pPr>
              <w:pStyle w:val="null3"/>
              <w:jc w:val="left"/>
            </w:pPr>
            <w:r>
              <w:rPr>
                <w:rFonts w:ascii="仿宋_GB2312" w:hAnsi="仿宋_GB2312" w:cs="仿宋_GB2312" w:eastAsia="仿宋_GB2312"/>
              </w:rPr>
              <w:t>技术要求应答表,供应商应提交的相关证明材料,报价表,投标（响应）函,服务要求应答表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供应商的投标文件中不存在招标文件规定的无效情形</w:t>
            </w:r>
          </w:p>
        </w:tc>
        <w:tc>
          <w:tcPr>
            <w:tcW w:type="dxa" w:w="3322"/>
          </w:tcPr>
          <w:p>
            <w:pPr>
              <w:pStyle w:val="null3"/>
              <w:jc w:val="left"/>
            </w:pPr>
            <w:r>
              <w:rPr>
                <w:rFonts w:ascii="仿宋_GB2312" w:hAnsi="仿宋_GB2312" w:cs="仿宋_GB2312" w:eastAsia="仿宋_GB2312"/>
              </w:rPr>
              <w:t>供应商的投标文件中不存在招标文件规定的无效情形</w:t>
            </w:r>
          </w:p>
        </w:tc>
        <w:tc>
          <w:tcPr>
            <w:tcW w:type="dxa" w:w="1661"/>
          </w:tcPr>
          <w:p>
            <w:pPr>
              <w:pStyle w:val="null3"/>
              <w:jc w:val="left"/>
            </w:pPr>
            <w:r>
              <w:rPr>
                <w:rFonts w:ascii="仿宋_GB2312" w:hAnsi="仿宋_GB2312" w:cs="仿宋_GB2312" w:eastAsia="仿宋_GB2312"/>
              </w:rPr>
              <w:t>技术要求应答表,供应商应提交的相关证明材料,报价表,投标（响应）函,服务要求应答表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详见附件：具有独立承担民事责任的能力的证明材料</w:t>
      </w:r>
    </w:p>
    <w:p>
      <w:pPr>
        <w:pStyle w:val="null3"/>
        <w:ind w:firstLine="960"/>
        <w:jc w:val="left"/>
      </w:pPr>
      <w:r>
        <w:rPr>
          <w:rFonts w:ascii="仿宋_GB2312" w:hAnsi="仿宋_GB2312" w:cs="仿宋_GB2312" w:eastAsia="仿宋_GB2312"/>
        </w:rPr>
        <w:t>详见附件：具有健全的财务会计制度的证明材料</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详见附件：特定资格要求证明材料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