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版本号：241025001</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食品科学与工程博士点建设实验设备</w:t>
      </w:r>
    </w:p>
    <w:p>
      <w:pPr>
        <w:pStyle w:val="null3"/>
        <w:jc w:val="center"/>
        <w:outlineLvl w:val="2"/>
      </w:pPr>
      <w:r>
        <w:rPr>
          <w:b/>
          <w:sz w:val="28"/>
        </w:rPr>
        <w:t>采购项目编号：</w:t>
      </w:r>
      <w:r>
        <w:rPr>
          <w:b/>
          <w:sz w:val="28"/>
        </w:rPr>
        <w:t>N5100012024003251</w:t>
      </w:r>
    </w:p>
    <w:p>
      <w:pPr>
        <w:pStyle w:val="null3"/>
        <w:jc w:val="left"/>
        <w:outlineLvl w:val="2"/>
      </w:pPr>
      <w:r>
        <w:rPr>
          <w:b/>
          <w:sz w:val="28"/>
        </w:rPr>
        <w:t>四川轻化工大学</w:t>
      </w:r>
    </w:p>
    <w:p>
      <w:pPr>
        <w:pStyle w:val="null3"/>
        <w:jc w:val="center"/>
        <w:outlineLvl w:val="2"/>
      </w:pPr>
      <w:r>
        <w:rPr>
          <w:b/>
          <w:sz w:val="28"/>
        </w:rPr>
        <w:t>四川盐律建设项目管理有限公司</w:t>
      </w:r>
      <w:r>
        <w:rPr>
          <w:b/>
          <w:sz w:val="28"/>
        </w:rPr>
        <w:t>共同编制</w:t>
      </w:r>
    </w:p>
    <w:p>
      <w:pPr>
        <w:pStyle w:val="null3"/>
        <w:jc w:val="center"/>
      </w:pPr>
      <w:r>
        <w:rPr/>
        <w:t>2024年10月28日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四川盐律建设项目管理有限公司</w:t>
      </w:r>
      <w:r>
        <w:rPr/>
        <w:t xml:space="preserve"> （以下简称“代理机构”）受 </w:t>
      </w:r>
      <w:r>
        <w:rPr/>
        <w:t>四川轻化工大学</w:t>
      </w:r>
      <w:r>
        <w:rPr/>
        <w:t xml:space="preserve"> 委托，拟对 </w:t>
      </w:r>
      <w:r>
        <w:rPr/>
        <w:t>食品科学与工程博士点建设实验设备</w:t>
      </w:r>
      <w:r>
        <w:rPr/>
        <w:t xml:space="preserve"> 采用公开招标方式进行采购，兹邀请符合本次招标要求的供应商参加投标。本项目为四川省</w:t>
      </w:r>
      <w:r>
        <w:rPr/>
        <w:t>省本级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N5100012024003251</w:t>
      </w:r>
    </w:p>
    <w:p>
      <w:pPr>
        <w:pStyle w:val="null3"/>
        <w:jc w:val="left"/>
        <w:outlineLvl w:val="2"/>
      </w:pPr>
      <w:r>
        <w:rPr>
          <w:b/>
          <w:sz w:val="28"/>
        </w:rPr>
        <w:t>1.2.采购项目名称</w:t>
      </w:r>
      <w:r>
        <w:rPr>
          <w:b/>
          <w:sz w:val="28"/>
        </w:rPr>
        <w:t xml:space="preserve">： </w:t>
      </w:r>
      <w:r>
        <w:rPr>
          <w:b/>
          <w:sz w:val="28"/>
        </w:rPr>
        <w:t>食品科学与工程博士点建设实验设备</w:t>
      </w:r>
    </w:p>
    <w:p>
      <w:pPr>
        <w:pStyle w:val="null3"/>
        <w:jc w:val="left"/>
        <w:outlineLvl w:val="2"/>
      </w:pPr>
      <w:r>
        <w:rPr>
          <w:b/>
          <w:sz w:val="28"/>
        </w:rPr>
        <w:t>1.3.招标项目简介</w:t>
      </w:r>
    </w:p>
    <w:p>
      <w:pPr>
        <w:pStyle w:val="null3"/>
        <w:ind w:firstLine="480"/>
        <w:jc w:val="left"/>
      </w:pPr>
      <w:r>
        <w:rPr/>
        <w:t>本项目为食品科学与工程一级学科包括食品科学、农产品加工与贮藏工程、食品安全等二级学科开展科学研究提供设备支撑。为食品生物技术、现代食品加工理论与基础、食品原料与品质、现代食品加工技术与装备、农产品贮藏工程、副产物处理与资源化利用、食品加工安全和食品与人体健康等方面积极开展人才培养、科学研究和社会服务。</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采购包1：</w:t>
      </w:r>
    </w:p>
    <w:p>
      <w:pPr>
        <w:pStyle w:val="null3"/>
        <w:jc w:val="left"/>
      </w:pPr>
      <w:r>
        <w:rPr/>
        <w:t>1、采购标的允许采购进口产品的，投标人所投产品为进口产品时须具备制造商针对该产品的授权。（描述：采购标的允许采购进口产品的，投标人所投产品为进口产品时须提供制造商针对该产品的授权影印件。）</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四川轻化工大学</w:t>
      </w:r>
    </w:p>
    <w:p>
      <w:pPr>
        <w:pStyle w:val="null3"/>
        <w:ind w:firstLine="480"/>
        <w:jc w:val="left"/>
      </w:pPr>
      <w:r>
        <w:rPr/>
        <w:t xml:space="preserve"> 地址： </w:t>
      </w:r>
      <w:r>
        <w:rPr/>
        <w:t>自贡市自流井区汇兴路519号</w:t>
      </w:r>
    </w:p>
    <w:p>
      <w:pPr>
        <w:pStyle w:val="null3"/>
        <w:jc w:val="left"/>
      </w:pPr>
      <w:r>
        <w:rPr/>
        <w:t xml:space="preserve"> 邮编： </w:t>
      </w:r>
      <w:r>
        <w:rPr/>
        <w:t>643000</w:t>
      </w:r>
    </w:p>
    <w:p>
      <w:pPr>
        <w:pStyle w:val="null3"/>
        <w:jc w:val="left"/>
      </w:pPr>
      <w:r>
        <w:rPr/>
        <w:t xml:space="preserve"> 联系人： </w:t>
      </w:r>
      <w:r>
        <w:rPr/>
        <w:t>张老师</w:t>
      </w:r>
    </w:p>
    <w:p>
      <w:pPr>
        <w:pStyle w:val="null3"/>
        <w:jc w:val="left"/>
      </w:pPr>
      <w:r>
        <w:rPr/>
        <w:t xml:space="preserve"> 联系电话： </w:t>
      </w:r>
      <w:r>
        <w:rPr/>
        <w:t>0813-5505560</w:t>
      </w:r>
    </w:p>
    <w:p>
      <w:pPr>
        <w:pStyle w:val="null3"/>
        <w:ind w:firstLine="480"/>
        <w:jc w:val="left"/>
      </w:pPr>
      <w:r>
        <w:rPr>
          <w:b/>
        </w:rPr>
        <w:t>代理机构</w:t>
      </w:r>
      <w:r>
        <w:rPr>
          <w:b/>
        </w:rPr>
        <w:t xml:space="preserve">： </w:t>
      </w:r>
      <w:r>
        <w:rPr>
          <w:b/>
        </w:rPr>
        <w:t>四川盐律建设项目管理有限公司</w:t>
      </w:r>
    </w:p>
    <w:p>
      <w:pPr>
        <w:pStyle w:val="null3"/>
        <w:ind w:firstLine="480"/>
        <w:jc w:val="left"/>
      </w:pPr>
      <w:r>
        <w:rPr/>
        <w:t xml:space="preserve"> 地址： </w:t>
      </w:r>
      <w:r>
        <w:rPr/>
        <w:t>四川省自贡市自流井区兴川南街760号2栋8-2号</w:t>
      </w:r>
    </w:p>
    <w:p>
      <w:pPr>
        <w:pStyle w:val="null3"/>
        <w:jc w:val="left"/>
      </w:pPr>
      <w:r>
        <w:rPr/>
        <w:t xml:space="preserve"> 邮编： </w:t>
      </w:r>
      <w:r>
        <w:rPr/>
        <w:t>643000</w:t>
      </w:r>
    </w:p>
    <w:p>
      <w:pPr>
        <w:pStyle w:val="null3"/>
        <w:jc w:val="left"/>
      </w:pPr>
      <w:r>
        <w:rPr/>
        <w:t xml:space="preserve"> 联系人： </w:t>
      </w:r>
      <w:r>
        <w:rPr/>
        <w:t>刘先生</w:t>
      </w:r>
    </w:p>
    <w:p>
      <w:pPr>
        <w:pStyle w:val="null3"/>
        <w:jc w:val="left"/>
      </w:pPr>
      <w:r>
        <w:rPr/>
        <w:t xml:space="preserve"> 联系电话： </w:t>
      </w:r>
      <w:r>
        <w:rPr/>
        <w:t>0813-6681231</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采购包1：1,240,000.00元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采购包1：收取</w:t>
            </w:r>
          </w:p>
          <w:p>
            <w:pPr>
              <w:pStyle w:val="null3"/>
              <w:jc w:val="left"/>
            </w:pPr>
            <w:r>
              <w:rPr/>
              <w:t>本采购包履约保证金为合同金额的5%</w:t>
            </w:r>
          </w:p>
          <w:p>
            <w:pPr>
              <w:pStyle w:val="null3"/>
              <w:jc w:val="left"/>
            </w:pPr>
            <w:r>
              <w:rPr/>
              <w:t>交款方式：银行转账，支票/汇票/本票，保函/保险</w:t>
            </w:r>
          </w:p>
          <w:p>
            <w:pPr>
              <w:pStyle w:val="null3"/>
              <w:jc w:val="left"/>
            </w:pPr>
            <w:r>
              <w:rPr/>
              <w:t>收款单位：四川轻化工大学。开户行：签订合同前由采购人确定。银行账号：签订合同前由采购人确定。交款时间：成交通知书发放后，政府采购合同签订前。注：提供保函的担保机构必须是依法成立的具有相关资质和偿付能力的担保机构。保函是银行等金融机构出具的，保函必须要在中国人民银行征信系统能够进行查询，否则将取消成交资格，采购人将重新确定中标人，并依法追究法律责任。履约保证金退还方式：签订合同时由采购人和中标人在合同中进行约定。履约保证金退还时间：经合同履约完成后，所供货物无任何质量和售后服务问题的情况下，中标人向采购人(使用单位)提出退还履约保证金申请，由采购人(使用单位)一次性向中标人无息退还。若中标人违约，采购人可以先从履约保证金中扣除违约金，不足部分中标人应另行支付，同时中标人应在3日内补足履约保证金。履约保证金不予退还情形：签订合同时由采购人和中标人在合同中进行约定。履约保证金不予退还的，将按照有关规定上缴国库。</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代理服务费用收取对象：中标人</w:t>
            </w:r>
          </w:p>
          <w:p>
            <w:pPr>
              <w:pStyle w:val="null3"/>
              <w:jc w:val="left"/>
            </w:pPr>
            <w:r>
              <w:rPr/>
              <w:t>代理服务费收费标准：若中标金额≥100万元，按照中标金额的0.65%向中标供应商收取； 若中标金额＜100万元，按照中标金额的0.70%向中标供应商收取。（收款单位：四川盐律建设项目管理有限公司 开户银行：中国建设银行股份有限公司自贡龙汇路支行 帐 号：5105 0161 0041 0000 0061）</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四川轻化工大学</w:t>
      </w:r>
      <w:r>
        <w:rPr/>
        <w:t xml:space="preserve"> 和 </w:t>
      </w:r>
      <w:r>
        <w:rPr/>
        <w:t>四川盐律建设项目管理有限公司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四川轻化工大学</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四川盐律建设项目管理有限公司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全部货物到货安装后，试运行至少15日，试运行验收合格后，提请综合验收</w:t>
      </w:r>
      <w:r>
        <w:rPr/>
        <w:t xml:space="preserve"> ，达到验收条件起 </w:t>
      </w:r>
      <w:r>
        <w:rPr/>
        <w:t>30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按采购文件、中标供应商响应文件应答参数、中标供应商提供的货物实际功能参数及双方合同约定进行验收。</w:t>
      </w:r>
    </w:p>
    <w:p>
      <w:pPr>
        <w:pStyle w:val="null3"/>
        <w:ind w:firstLine="480"/>
        <w:jc w:val="left"/>
      </w:pPr>
      <w:r>
        <w:rPr/>
        <w:t>十、商务履约验收内容：</w:t>
      </w:r>
    </w:p>
    <w:p>
      <w:pPr>
        <w:pStyle w:val="null3"/>
        <w:ind w:firstLine="480"/>
        <w:jc w:val="left"/>
      </w:pPr>
      <w:r>
        <w:rPr/>
        <w:t>采购包1：</w:t>
      </w:r>
      <w:r>
        <w:rPr/>
        <w:t>按采购文件、中标供应商响应文件应答内容及双方合同约定进行验收。</w:t>
      </w:r>
    </w:p>
    <w:p>
      <w:pPr>
        <w:pStyle w:val="null3"/>
        <w:ind w:firstLine="480"/>
        <w:jc w:val="left"/>
      </w:pPr>
      <w:r>
        <w:rPr/>
        <w:t>十一、履约验收标准：</w:t>
      </w:r>
    </w:p>
    <w:p>
      <w:pPr>
        <w:pStyle w:val="null3"/>
        <w:ind w:firstLine="480"/>
        <w:jc w:val="left"/>
      </w:pPr>
      <w:r>
        <w:rPr/>
        <w:t>采购包1：</w:t>
      </w:r>
      <w:r>
        <w:rPr/>
        <w:t>按照《财政部关于进一步加强政府采购需求和履约验收管理的指导意见》（财库〔2016〕205号）、《四川轻化工大学采购项目验收管理办法》（川轻化〔2020〕11号）以及招标文件的质量要求和技术指标、中标人的投标文件及承诺与合同约定标准的要求进行验收；双方如对质量要求和技术指标的约定标准有相互抵触或异议的事项，由招标人在招标文件与投标文件中按质量要求和技术指标比较优胜的原则确定该项的约定标准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四川轻化工大学</w:t>
      </w:r>
      <w:r>
        <w:rPr/>
        <w:t xml:space="preserve"> 负责答复；投标人对除采购需求外的招标文件的询问、质疑由 </w:t>
      </w:r>
      <w:r>
        <w:rPr/>
        <w:t>四川盐律建设项目管理有限公司</w:t>
      </w:r>
      <w:r>
        <w:rPr/>
        <w:t xml:space="preserve"> 负责答复；投标人对采购过程、采购结果的询问、质疑由 </w:t>
      </w:r>
      <w:r>
        <w:rPr/>
        <w:t>四川盐律建设项目管理有限公司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答复主体：代理机构</w:t>
      </w:r>
    </w:p>
    <w:p>
      <w:pPr>
        <w:pStyle w:val="null3"/>
        <w:jc w:val="left"/>
      </w:pPr>
      <w:r>
        <w:rPr/>
        <w:t>联系人：张先生</w:t>
      </w:r>
    </w:p>
    <w:p>
      <w:pPr>
        <w:pStyle w:val="null3"/>
        <w:jc w:val="left"/>
      </w:pPr>
      <w:r>
        <w:rPr/>
        <w:t>联系电话：0813-6681238</w:t>
      </w:r>
    </w:p>
    <w:p>
      <w:pPr>
        <w:pStyle w:val="null3"/>
        <w:jc w:val="left"/>
      </w:pPr>
      <w:r>
        <w:rPr/>
        <w:t>地址：四川省自贡市自流井区兴川南街760号2栋8-2号</w:t>
      </w:r>
    </w:p>
    <w:p>
      <w:pPr>
        <w:pStyle w:val="null3"/>
        <w:jc w:val="left"/>
      </w:pPr>
      <w:r>
        <w:rPr/>
        <w:t>邮编：643000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1,240,000.00</w:t>
      </w:r>
    </w:p>
    <w:p>
      <w:pPr>
        <w:pStyle w:val="null3"/>
        <w:jc w:val="left"/>
      </w:pPr>
      <w:r>
        <w:rPr/>
        <w:t>采购包最高限价（元）: 1,240,000.00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教学仪器</w:t>
            </w:r>
          </w:p>
        </w:tc>
        <w:tc>
          <w:tcPr>
            <w:tcW w:type="dxa" w:w="821"/>
          </w:tcPr>
          <w:p>
            <w:pPr>
              <w:pStyle w:val="null3"/>
              <w:jc w:val="left"/>
            </w:pPr>
            <w:r>
              <w:rPr/>
              <w:t>脉冲强光杀菌设备</w:t>
            </w:r>
          </w:p>
        </w:tc>
        <w:tc>
          <w:tcPr>
            <w:tcW w:type="dxa" w:w="821"/>
          </w:tcPr>
          <w:p>
            <w:pPr>
              <w:pStyle w:val="null3"/>
              <w:jc w:val="right"/>
            </w:pPr>
            <w:r>
              <w:rPr/>
              <w:t>1.00（台）</w:t>
            </w:r>
          </w:p>
        </w:tc>
        <w:tc>
          <w:tcPr>
            <w:tcW w:type="dxa" w:w="821"/>
          </w:tcPr>
          <w:p>
            <w:pPr>
              <w:pStyle w:val="null3"/>
              <w:jc w:val="right"/>
            </w:pPr>
            <w:r>
              <w:rPr/>
              <w:t>900,000.00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是</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教学仪器</w:t>
            </w:r>
          </w:p>
        </w:tc>
        <w:tc>
          <w:tcPr>
            <w:tcW w:type="dxa" w:w="821"/>
          </w:tcPr>
          <w:p>
            <w:pPr>
              <w:pStyle w:val="null3"/>
              <w:jc w:val="left"/>
            </w:pPr>
            <w:r>
              <w:rPr/>
              <w:t>纸浆粘度计</w:t>
            </w:r>
          </w:p>
        </w:tc>
        <w:tc>
          <w:tcPr>
            <w:tcW w:type="dxa" w:w="821"/>
          </w:tcPr>
          <w:p>
            <w:pPr>
              <w:pStyle w:val="null3"/>
              <w:jc w:val="right"/>
            </w:pPr>
            <w:r>
              <w:rPr/>
              <w:t>1.00（台）</w:t>
            </w:r>
          </w:p>
        </w:tc>
        <w:tc>
          <w:tcPr>
            <w:tcW w:type="dxa" w:w="821"/>
          </w:tcPr>
          <w:p>
            <w:pPr>
              <w:pStyle w:val="null3"/>
              <w:jc w:val="right"/>
            </w:pPr>
            <w:r>
              <w:rPr/>
              <w:t>340,000.00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是</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脉冲强光杀菌设备</w:t>
            </w:r>
          </w:p>
        </w:tc>
        <w:tc>
          <w:tcPr>
            <w:tcW w:type="dxa" w:w="977"/>
          </w:tcPr>
          <w:p>
            <w:pPr>
              <w:pStyle w:val="null3"/>
              <w:jc w:val="right"/>
            </w:pPr>
            <w:r>
              <w:rPr/>
              <w:t>1.00（台）</w:t>
            </w:r>
          </w:p>
        </w:tc>
        <w:tc>
          <w:tcPr>
            <w:tcW w:type="dxa" w:w="1173"/>
          </w:tcPr>
          <w:p>
            <w:pPr>
              <w:pStyle w:val="null3"/>
              <w:jc w:val="right"/>
            </w:pPr>
            <w:r>
              <w:rPr/>
              <w:t>900,000（元）</w:t>
            </w:r>
          </w:p>
        </w:tc>
        <w:tc>
          <w:tcPr>
            <w:tcW w:type="dxa" w:w="1173"/>
          </w:tcPr>
          <w:p>
            <w:pPr>
              <w:pStyle w:val="null3"/>
              <w:jc w:val="right"/>
            </w:pPr>
            <w:r>
              <w:rPr/>
              <w:t>900,000.00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纸浆粘度计</w:t>
            </w:r>
          </w:p>
        </w:tc>
        <w:tc>
          <w:tcPr>
            <w:tcW w:type="dxa" w:w="977"/>
          </w:tcPr>
          <w:p>
            <w:pPr>
              <w:pStyle w:val="null3"/>
              <w:jc w:val="right"/>
            </w:pPr>
            <w:r>
              <w:rPr/>
              <w:t>1.00（台）</w:t>
            </w:r>
          </w:p>
        </w:tc>
        <w:tc>
          <w:tcPr>
            <w:tcW w:type="dxa" w:w="1173"/>
          </w:tcPr>
          <w:p>
            <w:pPr>
              <w:pStyle w:val="null3"/>
              <w:jc w:val="right"/>
            </w:pPr>
            <w:r>
              <w:rPr/>
              <w:t>340,000（元）</w:t>
            </w:r>
          </w:p>
        </w:tc>
        <w:tc>
          <w:tcPr>
            <w:tcW w:type="dxa" w:w="1173"/>
          </w:tcPr>
          <w:p>
            <w:pPr>
              <w:pStyle w:val="null3"/>
              <w:jc w:val="right"/>
            </w:pPr>
            <w:r>
              <w:rPr/>
              <w:t>340,000.00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★注：投标人响应产品应当明确品牌和规格型号并指向唯一产品，不能指向唯一产品的，应通过报价表唯一产品说明栏补充说明。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教学仪器</w:t>
            </w:r>
          </w:p>
        </w:tc>
        <w:tc>
          <w:tcPr>
            <w:tcW w:type="dxa" w:w="2492"/>
          </w:tcPr>
          <w:p>
            <w:pPr>
              <w:pStyle w:val="null3"/>
              <w:jc w:val="left"/>
            </w:pPr>
            <w:r>
              <w:rPr/>
              <w:t>脉冲强光杀菌设备</w:t>
            </w:r>
          </w:p>
        </w:tc>
        <w:tc>
          <w:tcPr>
            <w:tcW w:type="dxa" w:w="2492"/>
          </w:tcPr>
          <w:p>
            <w:pPr>
              <w:pStyle w:val="null3"/>
              <w:jc w:val="left"/>
            </w:pPr>
            <w:r>
              <w:rPr/>
              <w:t>脉冲强光杀菌设备</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教学仪器</w:t>
            </w:r>
          </w:p>
        </w:tc>
        <w:tc>
          <w:tcPr>
            <w:tcW w:type="dxa" w:w="2492"/>
          </w:tcPr>
          <w:p>
            <w:pPr>
              <w:pStyle w:val="null3"/>
              <w:jc w:val="left"/>
            </w:pPr>
            <w:r>
              <w:rPr/>
              <w:t>脉冲强光杀菌设备</w:t>
            </w:r>
          </w:p>
        </w:tc>
        <w:tc>
          <w:tcPr>
            <w:tcW w:type="dxa" w:w="2492"/>
          </w:tcPr>
          <w:p>
            <w:pPr>
              <w:pStyle w:val="null3"/>
              <w:jc w:val="left"/>
            </w:pPr>
            <w:r>
              <w:rPr/>
              <w:t>脉冲强光杀菌设备</w:t>
            </w:r>
          </w:p>
        </w:tc>
      </w:tr>
      <w:tr>
        <w:tc>
          <w:tcPr>
            <w:tcW w:type="dxa" w:w="831"/>
          </w:tcPr>
          <w:p>
            <w:pPr>
              <w:pStyle w:val="null3"/>
              <w:jc w:val="left"/>
            </w:pPr>
            <w:r>
              <w:rPr/>
              <w:t>2</w:t>
            </w:r>
          </w:p>
        </w:tc>
        <w:tc>
          <w:tcPr>
            <w:tcW w:type="dxa" w:w="2492"/>
          </w:tcPr>
          <w:p>
            <w:pPr>
              <w:pStyle w:val="null3"/>
              <w:jc w:val="left"/>
            </w:pPr>
            <w:r>
              <w:rPr/>
              <w:t>教学仪器</w:t>
            </w:r>
          </w:p>
        </w:tc>
        <w:tc>
          <w:tcPr>
            <w:tcW w:type="dxa" w:w="2492"/>
          </w:tcPr>
          <w:p>
            <w:pPr>
              <w:pStyle w:val="null3"/>
              <w:jc w:val="left"/>
            </w:pPr>
            <w:r>
              <w:rPr/>
              <w:t>纸浆粘度计</w:t>
            </w:r>
          </w:p>
        </w:tc>
        <w:tc>
          <w:tcPr>
            <w:tcW w:type="dxa" w:w="2492"/>
          </w:tcPr>
          <w:p>
            <w:pPr>
              <w:pStyle w:val="null3"/>
              <w:jc w:val="left"/>
            </w:pPr>
            <w:r>
              <w:rPr/>
              <w:t>纸浆粘度计</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标的名称：脉冲强光杀菌设备</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pPr>
              <w:pStyle w:val="null3"/>
              <w:jc w:val="left"/>
            </w:pPr>
            <w:r>
              <w:rPr/>
              <w:t>脉冲强光杀菌设备</w:t>
            </w:r>
          </w:p>
        </w:tc>
        <w:tc>
          <w:tcPr>
            <w:tcW w:type="dxa" w:w="3738"/>
          </w:tcPr>
          <w:p>
            <w:pPr>
              <w:pStyle w:val="null3"/>
              <w:jc w:val="both"/>
            </w:pPr>
            <w:r>
              <w:rPr>
                <w:rFonts w:ascii="仿宋" w:hAnsi="仿宋" w:cs="仿宋" w:eastAsia="仿宋"/>
                <w:sz w:val="21"/>
              </w:rPr>
              <w:t>1、电压：220±10V。</w:t>
            </w:r>
          </w:p>
          <w:p>
            <w:pPr>
              <w:pStyle w:val="null3"/>
              <w:jc w:val="both"/>
            </w:pPr>
            <w:r>
              <w:rPr>
                <w:rFonts w:ascii="仿宋" w:hAnsi="仿宋" w:cs="仿宋" w:eastAsia="仿宋"/>
                <w:sz w:val="21"/>
              </w:rPr>
              <w:t>2、功率（1flash/秒）≥2000W。</w:t>
            </w:r>
          </w:p>
          <w:p>
            <w:pPr>
              <w:pStyle w:val="null3"/>
              <w:jc w:val="both"/>
            </w:pPr>
            <w:r>
              <w:rPr>
                <w:rFonts w:ascii="仿宋" w:hAnsi="仿宋" w:cs="仿宋" w:eastAsia="仿宋"/>
                <w:sz w:val="21"/>
              </w:rPr>
              <w:t>▲3、照射系统：脉冲强光灯管；电压≥1320伏；灯管高度可在软件上进行调节。(需提供软件中高度设置及不同高度对物料杀菌结果影响的数据截图。)</w:t>
            </w:r>
          </w:p>
          <w:p>
            <w:pPr>
              <w:pStyle w:val="null3"/>
              <w:jc w:val="both"/>
            </w:pPr>
            <w:r>
              <w:rPr>
                <w:rFonts w:ascii="仿宋" w:hAnsi="仿宋" w:cs="仿宋" w:eastAsia="仿宋"/>
                <w:sz w:val="21"/>
              </w:rPr>
              <w:t>▲4、每根灯管寿命≥200万次。</w:t>
            </w:r>
          </w:p>
          <w:p>
            <w:pPr>
              <w:pStyle w:val="null3"/>
              <w:jc w:val="both"/>
            </w:pPr>
            <w:r>
              <w:rPr>
                <w:rFonts w:ascii="仿宋" w:hAnsi="仿宋" w:cs="仿宋" w:eastAsia="仿宋"/>
                <w:sz w:val="21"/>
              </w:rPr>
              <w:t>▲5、每个灯管闪频能量≥1850焦耳/闪频。</w:t>
            </w:r>
          </w:p>
          <w:p>
            <w:pPr>
              <w:pStyle w:val="null3"/>
              <w:jc w:val="both"/>
            </w:pPr>
            <w:r>
              <w:rPr>
                <w:rFonts w:ascii="仿宋" w:hAnsi="仿宋" w:cs="仿宋" w:eastAsia="仿宋"/>
                <w:sz w:val="21"/>
              </w:rPr>
              <w:t>▲6、闪光频率≥1闪光/秒。</w:t>
            </w:r>
          </w:p>
          <w:p>
            <w:pPr>
              <w:pStyle w:val="null3"/>
              <w:jc w:val="both"/>
            </w:pPr>
            <w:r>
              <w:rPr>
                <w:rFonts w:ascii="仿宋" w:hAnsi="仿宋" w:cs="仿宋" w:eastAsia="仿宋"/>
                <w:sz w:val="21"/>
              </w:rPr>
              <w:t>7、电容器充电≤1秒。</w:t>
            </w:r>
          </w:p>
          <w:p>
            <w:pPr>
              <w:pStyle w:val="null3"/>
              <w:jc w:val="both"/>
            </w:pPr>
            <w:r>
              <w:rPr>
                <w:rFonts w:ascii="仿宋" w:hAnsi="仿宋" w:cs="仿宋" w:eastAsia="仿宋"/>
                <w:sz w:val="21"/>
              </w:rPr>
              <w:t>▲8、认证资格：具有CE认证证书</w:t>
            </w:r>
            <w:r>
              <w:rPr>
                <w:rFonts w:ascii="仿宋" w:hAnsi="仿宋" w:cs="仿宋" w:eastAsia="仿宋"/>
                <w:sz w:val="21"/>
              </w:rPr>
              <w:t>（</w:t>
            </w:r>
            <w:r>
              <w:rPr>
                <w:rFonts w:ascii="仿宋" w:hAnsi="仿宋" w:cs="仿宋" w:eastAsia="仿宋"/>
                <w:sz w:val="21"/>
              </w:rPr>
              <w:t>提供认证证书影印件</w:t>
            </w:r>
            <w:r>
              <w:rPr>
                <w:rFonts w:ascii="仿宋" w:hAnsi="仿宋" w:cs="仿宋" w:eastAsia="仿宋"/>
                <w:sz w:val="21"/>
              </w:rPr>
              <w:t>）</w:t>
            </w:r>
            <w:r>
              <w:rPr>
                <w:rFonts w:ascii="仿宋" w:hAnsi="仿宋" w:cs="仿宋" w:eastAsia="仿宋"/>
                <w:sz w:val="21"/>
              </w:rPr>
              <w:t>。</w:t>
            </w:r>
          </w:p>
          <w:p>
            <w:pPr>
              <w:pStyle w:val="null3"/>
              <w:jc w:val="both"/>
            </w:pPr>
            <w:r>
              <w:rPr>
                <w:rFonts w:ascii="仿宋" w:hAnsi="仿宋" w:cs="仿宋" w:eastAsia="仿宋"/>
                <w:sz w:val="21"/>
              </w:rPr>
              <w:t>9、运行环境：灯管可以用于水下及液体食品使用。</w:t>
            </w:r>
          </w:p>
          <w:p>
            <w:pPr>
              <w:pStyle w:val="null3"/>
              <w:jc w:val="both"/>
            </w:pPr>
            <w:r>
              <w:rPr>
                <w:rFonts w:ascii="仿宋" w:hAnsi="仿宋" w:cs="仿宋" w:eastAsia="仿宋"/>
                <w:sz w:val="21"/>
              </w:rPr>
              <w:t>10、液体类食品杀菌范围：直径≥60厘米。</w:t>
            </w:r>
          </w:p>
          <w:p>
            <w:pPr>
              <w:pStyle w:val="null3"/>
              <w:jc w:val="both"/>
            </w:pPr>
            <w:r>
              <w:rPr>
                <w:rFonts w:ascii="仿宋" w:hAnsi="仿宋" w:cs="仿宋" w:eastAsia="仿宋"/>
                <w:sz w:val="21"/>
              </w:rPr>
              <w:t>11、运行间隔≤1秒。</w:t>
            </w:r>
          </w:p>
          <w:p>
            <w:pPr>
              <w:pStyle w:val="null3"/>
              <w:jc w:val="both"/>
            </w:pPr>
            <w:r>
              <w:rPr>
                <w:rFonts w:ascii="仿宋" w:hAnsi="仿宋" w:cs="仿宋" w:eastAsia="仿宋"/>
                <w:sz w:val="21"/>
              </w:rPr>
              <w:t>12、操作控制：触摸屏PLC控制系统。</w:t>
            </w:r>
          </w:p>
          <w:p>
            <w:pPr>
              <w:pStyle w:val="null3"/>
              <w:jc w:val="both"/>
            </w:pPr>
            <w:r>
              <w:rPr>
                <w:rFonts w:ascii="仿宋" w:hAnsi="仿宋" w:cs="仿宋" w:eastAsia="仿宋"/>
                <w:sz w:val="21"/>
              </w:rPr>
              <w:t>▲13、可以搭配生产线传送带在线杀菌（提供在线杀菌连续截图</w:t>
            </w:r>
            <w:r>
              <w:rPr>
                <w:rFonts w:ascii="宋体" w:hAnsi="宋体" w:cs="宋体" w:eastAsia="宋体"/>
                <w:sz w:val="21"/>
              </w:rPr>
              <w:t>，</w:t>
            </w:r>
            <w:r>
              <w:rPr>
                <w:rFonts w:ascii="仿宋" w:hAnsi="仿宋" w:cs="仿宋" w:eastAsia="仿宋"/>
                <w:sz w:val="21"/>
              </w:rPr>
              <w:t>不少于三张</w:t>
            </w:r>
            <w:r>
              <w:rPr>
                <w:rFonts w:ascii="仿宋" w:hAnsi="仿宋" w:cs="仿宋" w:eastAsia="仿宋"/>
                <w:sz w:val="21"/>
              </w:rPr>
              <w:t>）</w:t>
            </w:r>
          </w:p>
          <w:p>
            <w:pPr>
              <w:pStyle w:val="null3"/>
              <w:jc w:val="both"/>
            </w:pPr>
            <w:r>
              <w:rPr>
                <w:rFonts w:ascii="仿宋" w:hAnsi="仿宋" w:cs="仿宋" w:eastAsia="仿宋"/>
                <w:sz w:val="21"/>
              </w:rPr>
              <w:t>14、</w:t>
            </w:r>
            <w:r>
              <w:rPr>
                <w:rFonts w:ascii="仿宋" w:hAnsi="仿宋" w:cs="仿宋" w:eastAsia="仿宋"/>
                <w:sz w:val="21"/>
              </w:rPr>
              <w:t>根据设备需求</w:t>
            </w:r>
            <w:r>
              <w:rPr>
                <w:rFonts w:ascii="仿宋" w:hAnsi="仿宋" w:cs="仿宋" w:eastAsia="仿宋"/>
                <w:sz w:val="21"/>
              </w:rPr>
              <w:t>配置传送带</w:t>
            </w:r>
            <w:r>
              <w:rPr>
                <w:rFonts w:ascii="仿宋" w:hAnsi="仿宋" w:cs="仿宋" w:eastAsia="仿宋"/>
                <w:sz w:val="21"/>
              </w:rPr>
              <w:t>，</w:t>
            </w:r>
            <w:r>
              <w:rPr>
                <w:rFonts w:ascii="仿宋" w:hAnsi="仿宋" w:cs="仿宋" w:eastAsia="仿宋"/>
                <w:sz w:val="21"/>
              </w:rPr>
              <w:t>传送带</w:t>
            </w:r>
            <w:r>
              <w:rPr>
                <w:rFonts w:ascii="仿宋" w:hAnsi="仿宋" w:cs="仿宋" w:eastAsia="仿宋"/>
                <w:sz w:val="21"/>
              </w:rPr>
              <w:t>具有</w:t>
            </w:r>
            <w:r>
              <w:rPr>
                <w:rFonts w:ascii="仿宋" w:hAnsi="仿宋" w:cs="仿宋" w:eastAsia="仿宋"/>
                <w:sz w:val="21"/>
              </w:rPr>
              <w:t>控制端接口。（提供接口图片）。</w:t>
            </w:r>
          </w:p>
          <w:p>
            <w:pPr>
              <w:pStyle w:val="null3"/>
              <w:jc w:val="both"/>
            </w:pPr>
            <w:r>
              <w:rPr>
                <w:rFonts w:ascii="仿宋" w:hAnsi="仿宋" w:cs="仿宋" w:eastAsia="仿宋"/>
                <w:sz w:val="21"/>
              </w:rPr>
              <w:t>15、货物尺寸≤87cm×142cm×200cm。</w:t>
            </w:r>
          </w:p>
          <w:p>
            <w:pPr>
              <w:pStyle w:val="null3"/>
              <w:jc w:val="both"/>
            </w:pPr>
            <w:r>
              <w:rPr>
                <w:rFonts w:ascii="宋体" w:hAnsi="宋体" w:cs="宋体" w:eastAsia="宋体"/>
                <w:sz w:val="21"/>
                <w:shd w:fill="FFFFFF" w:val="clear"/>
              </w:rPr>
              <w:t>▲</w:t>
            </w:r>
            <w:r>
              <w:rPr>
                <w:rFonts w:ascii="仿宋" w:hAnsi="仿宋" w:cs="仿宋" w:eastAsia="仿宋"/>
                <w:sz w:val="21"/>
                <w:shd w:fill="FFFFFF" w:val="clear"/>
              </w:rPr>
              <w:t>16、</w:t>
            </w:r>
            <w:r>
              <w:rPr>
                <w:rFonts w:ascii="仿宋" w:hAnsi="仿宋" w:cs="仿宋" w:eastAsia="仿宋"/>
                <w:sz w:val="21"/>
                <w:shd w:fill="FFFFFF" w:val="clear"/>
              </w:rPr>
              <w:t>设备密封所用产品成分检测结果符合</w:t>
            </w:r>
            <w:r>
              <w:rPr>
                <w:rFonts w:ascii="仿宋" w:hAnsi="仿宋" w:cs="仿宋" w:eastAsia="仿宋"/>
                <w:sz w:val="21"/>
                <w:shd w:fill="FFFFFF" w:val="clear"/>
              </w:rPr>
              <w:t>REACH认证的要求（化学品进行预防性管理的法规）。</w:t>
            </w:r>
            <w:r>
              <w:rPr>
                <w:rFonts w:ascii="仿宋" w:hAnsi="仿宋" w:cs="仿宋" w:eastAsia="仿宋"/>
                <w:sz w:val="21"/>
                <w:shd w:fill="FFFFFF" w:val="clear"/>
              </w:rPr>
              <w:t>（</w:t>
            </w:r>
            <w:r>
              <w:rPr>
                <w:rFonts w:ascii="仿宋" w:hAnsi="仿宋" w:cs="仿宋" w:eastAsia="仿宋"/>
                <w:sz w:val="21"/>
                <w:shd w:fill="FFFFFF" w:val="clear"/>
              </w:rPr>
              <w:t>提供密封产品检测报告</w:t>
            </w:r>
            <w:r>
              <w:rPr>
                <w:rFonts w:ascii="仿宋" w:hAnsi="仿宋" w:cs="仿宋" w:eastAsia="仿宋"/>
                <w:sz w:val="21"/>
                <w:shd w:fill="FFFFFF" w:val="clear"/>
              </w:rPr>
              <w:t>影印</w:t>
            </w:r>
            <w:r>
              <w:rPr>
                <w:rFonts w:ascii="仿宋" w:hAnsi="仿宋" w:cs="仿宋" w:eastAsia="仿宋"/>
                <w:sz w:val="21"/>
                <w:shd w:fill="FFFFFF" w:val="clear"/>
              </w:rPr>
              <w:t>件</w:t>
            </w:r>
            <w:r>
              <w:rPr>
                <w:rFonts w:ascii="仿宋" w:hAnsi="仿宋" w:cs="仿宋" w:eastAsia="仿宋"/>
                <w:sz w:val="21"/>
                <w:shd w:fill="FFFFFF" w:val="clear"/>
              </w:rPr>
              <w:t>）</w:t>
            </w:r>
          </w:p>
          <w:p>
            <w:pPr>
              <w:pStyle w:val="null3"/>
              <w:jc w:val="both"/>
            </w:pPr>
            <w:r>
              <w:rPr>
                <w:rFonts w:ascii="仿宋" w:hAnsi="仿宋" w:cs="仿宋" w:eastAsia="仿宋"/>
                <w:color w:val="000000"/>
                <w:sz w:val="21"/>
                <w:shd w:fill="FFFFFF" w:val="clear"/>
              </w:rPr>
              <w:t>▲1</w:t>
            </w:r>
            <w:r>
              <w:rPr>
                <w:rFonts w:ascii="仿宋" w:hAnsi="仿宋" w:cs="仿宋" w:eastAsia="仿宋"/>
                <w:color w:val="000000"/>
                <w:sz w:val="21"/>
                <w:shd w:fill="FFFFFF" w:val="clear"/>
              </w:rPr>
              <w:t>7</w:t>
            </w:r>
            <w:r>
              <w:rPr>
                <w:rFonts w:ascii="仿宋" w:hAnsi="仿宋" w:cs="仿宋" w:eastAsia="仿宋"/>
                <w:color w:val="000000"/>
                <w:sz w:val="21"/>
                <w:shd w:fill="FFFFFF" w:val="clear"/>
              </w:rPr>
              <w:t>通讯要求：设备配套的物联网设备需自带</w:t>
            </w:r>
            <w:r>
              <w:rPr>
                <w:rFonts w:ascii="仿宋" w:hAnsi="仿宋" w:cs="仿宋" w:eastAsia="仿宋"/>
                <w:color w:val="000000"/>
                <w:sz w:val="21"/>
                <w:shd w:fill="FFFFFF" w:val="clear"/>
              </w:rPr>
              <w:t>4G或5G通讯模块，可实现电脑端远程参数管理，设备数据可实时上传到指定的云中心数据处理软件接口。</w:t>
            </w:r>
          </w:p>
          <w:p>
            <w:pPr>
              <w:pStyle w:val="null3"/>
              <w:jc w:val="both"/>
            </w:pPr>
            <w:r>
              <w:rPr>
                <w:rFonts w:ascii="仿宋" w:hAnsi="仿宋" w:cs="仿宋" w:eastAsia="仿宋"/>
                <w:color w:val="000000"/>
                <w:sz w:val="21"/>
                <w:shd w:fill="FFFFFF" w:val="clear"/>
              </w:rPr>
              <w:t>18</w:t>
            </w:r>
            <w:r>
              <w:rPr>
                <w:rFonts w:ascii="仿宋" w:hAnsi="仿宋" w:cs="仿宋" w:eastAsia="仿宋"/>
                <w:color w:val="000000"/>
                <w:sz w:val="21"/>
                <w:shd w:fill="FFFFFF" w:val="clear"/>
              </w:rPr>
              <w:t>、电源控制系统</w:t>
            </w:r>
            <w:r>
              <w:rPr>
                <w:rFonts w:ascii="仿宋" w:hAnsi="仿宋" w:cs="仿宋" w:eastAsia="仿宋"/>
                <w:color w:val="000000"/>
                <w:sz w:val="21"/>
                <w:shd w:fill="FFFFFF" w:val="clear"/>
              </w:rPr>
              <w:t>可</w:t>
            </w:r>
            <w:r>
              <w:rPr>
                <w:rFonts w:ascii="仿宋" w:hAnsi="仿宋" w:cs="仿宋" w:eastAsia="仿宋"/>
                <w:color w:val="000000"/>
                <w:sz w:val="21"/>
                <w:shd w:fill="FFFFFF" w:val="clear"/>
              </w:rPr>
              <w:t>同时控制</w:t>
            </w:r>
            <w:r>
              <w:rPr>
                <w:rFonts w:ascii="仿宋" w:hAnsi="仿宋" w:cs="仿宋" w:eastAsia="仿宋"/>
                <w:color w:val="000000"/>
                <w:sz w:val="21"/>
                <w:shd w:fill="FFFFFF" w:val="clear"/>
              </w:rPr>
              <w:t>2台高压脉冲电场发生</w:t>
            </w:r>
            <w:r>
              <w:rPr>
                <w:rFonts w:ascii="仿宋" w:hAnsi="仿宋" w:cs="仿宋" w:eastAsia="仿宋"/>
                <w:color w:val="000000"/>
                <w:sz w:val="21"/>
                <w:shd w:fill="FFFFFF" w:val="clear"/>
              </w:rPr>
              <w:t>器</w:t>
            </w:r>
            <w:r>
              <w:rPr>
                <w:rFonts w:ascii="仿宋" w:hAnsi="仿宋" w:cs="仿宋" w:eastAsia="仿宋"/>
                <w:color w:val="000000"/>
                <w:sz w:val="21"/>
                <w:shd w:fill="FFFFFF" w:val="clear"/>
              </w:rPr>
              <w:t>。</w:t>
            </w:r>
          </w:p>
          <w:p>
            <w:pPr>
              <w:pStyle w:val="null3"/>
              <w:jc w:val="both"/>
            </w:pPr>
            <w:r>
              <w:rPr>
                <w:rFonts w:ascii="仿宋" w:hAnsi="仿宋" w:cs="仿宋" w:eastAsia="仿宋"/>
                <w:color w:val="000000"/>
                <w:sz w:val="21"/>
                <w:shd w:fill="FFFFFF" w:val="clear"/>
              </w:rPr>
              <w:t>★</w:t>
            </w:r>
            <w:r>
              <w:rPr>
                <w:rFonts w:ascii="仿宋" w:hAnsi="仿宋" w:cs="仿宋" w:eastAsia="仿宋"/>
                <w:color w:val="000000"/>
                <w:sz w:val="21"/>
                <w:shd w:fill="FFFFFF" w:val="clear"/>
              </w:rPr>
              <w:t>19</w:t>
            </w:r>
            <w:r>
              <w:rPr>
                <w:rFonts w:ascii="仿宋" w:hAnsi="仿宋" w:cs="仿宋" w:eastAsia="仿宋"/>
                <w:color w:val="000000"/>
                <w:sz w:val="21"/>
                <w:shd w:fill="FFFFFF" w:val="clear"/>
              </w:rPr>
              <w:t>、配置</w:t>
            </w:r>
          </w:p>
          <w:p>
            <w:pPr>
              <w:pStyle w:val="null3"/>
              <w:jc w:val="both"/>
            </w:pPr>
            <w:r>
              <w:rPr>
                <w:rFonts w:ascii="仿宋" w:hAnsi="仿宋" w:cs="仿宋" w:eastAsia="仿宋"/>
                <w:color w:val="000000"/>
                <w:sz w:val="21"/>
                <w:shd w:fill="FFFFFF" w:val="clear"/>
              </w:rPr>
              <w:t>高压脉冲电场发生系统，包含</w:t>
            </w:r>
            <w:r>
              <w:rPr>
                <w:rFonts w:ascii="仿宋" w:hAnsi="仿宋" w:cs="仿宋" w:eastAsia="仿宋"/>
                <w:color w:val="000000"/>
                <w:sz w:val="21"/>
                <w:shd w:fill="FFFFFF" w:val="clear"/>
              </w:rPr>
              <w:t>:脉冲电源控制系统2套，灯管箱1个，灯管箱升降器1套，开放物料放置平台</w:t>
            </w:r>
            <w:r>
              <w:rPr>
                <w:rFonts w:ascii="仿宋" w:hAnsi="仿宋" w:cs="仿宋" w:eastAsia="仿宋"/>
                <w:color w:val="000000"/>
                <w:sz w:val="21"/>
                <w:shd w:fill="FFFFFF" w:val="clear"/>
              </w:rPr>
              <w:t>1个</w:t>
            </w:r>
            <w:r>
              <w:rPr>
                <w:rFonts w:ascii="仿宋" w:hAnsi="仿宋" w:cs="仿宋" w:eastAsia="仿宋"/>
                <w:color w:val="000000"/>
                <w:sz w:val="21"/>
                <w:shd w:fill="FFFFFF" w:val="clear"/>
              </w:rPr>
              <w:t>(可直接架在传送带上面，也可直接放置</w:t>
            </w:r>
            <w:r>
              <w:rPr>
                <w:rFonts w:ascii="仿宋" w:hAnsi="仿宋" w:cs="仿宋" w:eastAsia="仿宋"/>
                <w:color w:val="000000"/>
                <w:sz w:val="21"/>
                <w:shd w:fill="FFFFFF" w:val="clear"/>
              </w:rPr>
              <w:t>在</w:t>
            </w:r>
            <w:r>
              <w:rPr>
                <w:rFonts w:ascii="仿宋" w:hAnsi="仿宋" w:cs="仿宋" w:eastAsia="仿宋"/>
                <w:color w:val="000000"/>
                <w:sz w:val="21"/>
                <w:shd w:fill="FFFFFF" w:val="clear"/>
              </w:rPr>
              <w:t>载物板</w:t>
            </w:r>
            <w:r>
              <w:rPr>
                <w:rFonts w:ascii="仿宋" w:hAnsi="仿宋" w:cs="仿宋" w:eastAsia="仿宋"/>
                <w:color w:val="000000"/>
                <w:sz w:val="21"/>
                <w:shd w:fill="FFFFFF" w:val="clear"/>
              </w:rPr>
              <w:t>上</w:t>
            </w:r>
            <w:r>
              <w:rPr>
                <w:rFonts w:ascii="仿宋" w:hAnsi="仿宋" w:cs="仿宋" w:eastAsia="仿宋"/>
                <w:color w:val="000000"/>
                <w:sz w:val="21"/>
                <w:shd w:fill="FFFFFF" w:val="clear"/>
              </w:rPr>
              <w:t>)，镶嵌式PLC电源控制液晶屏幕系统1套。</w:t>
            </w:r>
          </w:p>
          <w:p>
            <w:pPr>
              <w:pStyle w:val="null3"/>
              <w:jc w:val="both"/>
            </w:pPr>
            <w:r>
              <w:rPr>
                <w:rFonts w:ascii="仿宋" w:hAnsi="仿宋" w:cs="仿宋" w:eastAsia="仿宋"/>
                <w:color w:val="000000"/>
                <w:sz w:val="21"/>
              </w:rPr>
              <w:t>20、</w:t>
            </w:r>
            <w:r>
              <w:rPr>
                <w:rFonts w:ascii="仿宋" w:hAnsi="仿宋" w:cs="仿宋" w:eastAsia="仿宋"/>
                <w:color w:val="000000"/>
                <w:sz w:val="21"/>
              </w:rPr>
              <w:t>整机外壳为</w:t>
            </w:r>
            <w:r>
              <w:rPr>
                <w:rFonts w:ascii="仿宋" w:hAnsi="仿宋" w:cs="仿宋" w:eastAsia="仿宋"/>
                <w:color w:val="000000"/>
                <w:sz w:val="21"/>
              </w:rPr>
              <w:t>食品级</w:t>
            </w:r>
            <w:r>
              <w:rPr>
                <w:rFonts w:ascii="仿宋" w:hAnsi="仿宋" w:cs="仿宋" w:eastAsia="仿宋"/>
                <w:color w:val="000000"/>
                <w:sz w:val="21"/>
              </w:rPr>
              <w:t>304</w:t>
            </w:r>
            <w:r>
              <w:rPr>
                <w:rFonts w:ascii="仿宋" w:hAnsi="仿宋" w:cs="仿宋" w:eastAsia="仿宋"/>
                <w:color w:val="000000"/>
                <w:sz w:val="21"/>
              </w:rPr>
              <w:t>不锈钢。</w:t>
            </w:r>
          </w:p>
        </w:tc>
      </w:tr>
    </w:tbl>
    <w:p>
      <w:pPr>
        <w:pStyle w:val="null3"/>
        <w:jc w:val="left"/>
      </w:pPr>
      <w:r>
        <w:rPr/>
        <w:t>标的名称：纸浆粘度计</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pPr>
              <w:pStyle w:val="null3"/>
              <w:jc w:val="left"/>
            </w:pPr>
            <w:r>
              <w:rPr/>
              <w:t>纸浆粘度计</w:t>
            </w:r>
          </w:p>
        </w:tc>
        <w:tc>
          <w:tcPr>
            <w:tcW w:type="dxa" w:w="3738"/>
          </w:tcPr>
          <w:p>
            <w:pPr>
              <w:pStyle w:val="null3"/>
              <w:jc w:val="both"/>
            </w:pPr>
            <w:r>
              <w:rPr>
                <w:rFonts w:ascii="仿宋" w:hAnsi="仿宋" w:cs="仿宋" w:eastAsia="仿宋"/>
                <w:sz w:val="21"/>
              </w:rPr>
              <w:t>▲1、完全符合ISO 5351和SCAN-CM15标准要求，测试纸浆粘度。</w:t>
            </w:r>
          </w:p>
          <w:p>
            <w:pPr>
              <w:pStyle w:val="null3"/>
              <w:jc w:val="both"/>
            </w:pPr>
            <w:r>
              <w:rPr>
                <w:rFonts w:ascii="仿宋" w:hAnsi="仿宋" w:cs="仿宋" w:eastAsia="仿宋"/>
                <w:sz w:val="21"/>
              </w:rPr>
              <w:t>★2、提供配套恒温控制装置，操作温度25±0.1℃，带制冷功能的恒温水浴，温度</w:t>
            </w:r>
            <w:r>
              <w:rPr>
                <w:rFonts w:ascii="仿宋" w:hAnsi="仿宋" w:cs="仿宋" w:eastAsia="仿宋"/>
                <w:sz w:val="21"/>
              </w:rPr>
              <w:t>控制</w:t>
            </w:r>
            <w:r>
              <w:rPr>
                <w:rFonts w:ascii="仿宋" w:hAnsi="仿宋" w:cs="仿宋" w:eastAsia="仿宋"/>
                <w:sz w:val="21"/>
              </w:rPr>
              <w:t>范围</w:t>
            </w:r>
            <w:r>
              <w:rPr>
                <w:rFonts w:ascii="仿宋" w:hAnsi="仿宋" w:cs="仿宋" w:eastAsia="仿宋"/>
                <w:sz w:val="21"/>
              </w:rPr>
              <w:t>-20℃—100℃，温度稳定性±0.05℃。</w:t>
            </w:r>
          </w:p>
          <w:p>
            <w:pPr>
              <w:pStyle w:val="null3"/>
              <w:jc w:val="both"/>
            </w:pPr>
            <w:r>
              <w:rPr>
                <w:rFonts w:ascii="仿宋" w:hAnsi="仿宋" w:cs="仿宋" w:eastAsia="仿宋"/>
                <w:sz w:val="21"/>
              </w:rPr>
              <w:t>▲3、每套主机配置3支独立的ISO5351标准1ml玻璃粘度管，可同时进行</w:t>
            </w:r>
            <w:r>
              <w:rPr>
                <w:rFonts w:ascii="仿宋" w:hAnsi="仿宋" w:cs="仿宋" w:eastAsia="仿宋"/>
                <w:sz w:val="21"/>
              </w:rPr>
              <w:t>不少于</w:t>
            </w:r>
            <w:r>
              <w:rPr>
                <w:rFonts w:ascii="仿宋" w:hAnsi="仿宋" w:cs="仿宋" w:eastAsia="仿宋"/>
                <w:sz w:val="21"/>
              </w:rPr>
              <w:t>3个样品的测试。每5分钟内</w:t>
            </w:r>
            <w:r>
              <w:rPr>
                <w:rFonts w:ascii="仿宋" w:hAnsi="仿宋" w:cs="仿宋" w:eastAsia="仿宋"/>
                <w:sz w:val="21"/>
              </w:rPr>
              <w:t>可</w:t>
            </w:r>
            <w:r>
              <w:rPr>
                <w:rFonts w:ascii="仿宋" w:hAnsi="仿宋" w:cs="仿宋" w:eastAsia="仿宋"/>
                <w:sz w:val="21"/>
              </w:rPr>
              <w:t>完成一次</w:t>
            </w:r>
            <w:r>
              <w:rPr>
                <w:rFonts w:ascii="仿宋" w:hAnsi="仿宋" w:cs="仿宋" w:eastAsia="仿宋"/>
                <w:sz w:val="21"/>
              </w:rPr>
              <w:t>3个样品的测试。</w:t>
            </w:r>
          </w:p>
          <w:p>
            <w:pPr>
              <w:pStyle w:val="null3"/>
              <w:jc w:val="both"/>
            </w:pPr>
            <w:r>
              <w:rPr>
                <w:rFonts w:ascii="仿宋" w:hAnsi="仿宋" w:cs="仿宋" w:eastAsia="仿宋"/>
                <w:sz w:val="21"/>
              </w:rPr>
              <w:t>▲4、粘度管采用上、下两个铂金电极感应并测量浆料/CED溶液的流出时间，时间测试精度&lt;1ms。</w:t>
            </w:r>
          </w:p>
          <w:p>
            <w:pPr>
              <w:pStyle w:val="null3"/>
              <w:jc w:val="both"/>
            </w:pPr>
            <w:r>
              <w:rPr>
                <w:rFonts w:ascii="仿宋" w:hAnsi="仿宋" w:cs="仿宋" w:eastAsia="仿宋"/>
                <w:sz w:val="21"/>
              </w:rPr>
              <w:t>5、符合TAPPI T230标准的粘度值以及符合SCAN C15：G2标准的聚合度值自动计算并显示。</w:t>
            </w:r>
          </w:p>
          <w:p>
            <w:pPr>
              <w:pStyle w:val="null3"/>
              <w:jc w:val="both"/>
            </w:pPr>
            <w:r>
              <w:rPr>
                <w:rFonts w:ascii="仿宋" w:hAnsi="仿宋" w:cs="仿宋" w:eastAsia="仿宋"/>
                <w:sz w:val="21"/>
              </w:rPr>
              <w:t>6、具备粘度内部校正和外部校正功能。</w:t>
            </w:r>
          </w:p>
          <w:p>
            <w:pPr>
              <w:pStyle w:val="null3"/>
              <w:jc w:val="both"/>
            </w:pPr>
            <w:r>
              <w:rPr>
                <w:rFonts w:ascii="仿宋" w:hAnsi="仿宋" w:cs="仿宋" w:eastAsia="仿宋"/>
                <w:color w:val="000000"/>
                <w:sz w:val="21"/>
              </w:rPr>
              <w:t>▲</w:t>
            </w:r>
            <w:r>
              <w:rPr>
                <w:rFonts w:ascii="仿宋" w:hAnsi="仿宋" w:cs="仿宋" w:eastAsia="仿宋"/>
                <w:sz w:val="21"/>
              </w:rPr>
              <w:t>7、</w:t>
            </w:r>
            <w:r>
              <w:rPr>
                <w:rFonts w:ascii="仿宋" w:hAnsi="仿宋" w:cs="仿宋" w:eastAsia="仿宋"/>
                <w:color w:val="000000"/>
                <w:sz w:val="21"/>
              </w:rPr>
              <w:t>同样一个样品的粘度测定结果具有</w:t>
            </w:r>
            <w:r>
              <w:rPr>
                <w:rFonts w:ascii="仿宋" w:hAnsi="仿宋" w:cs="仿宋" w:eastAsia="仿宋"/>
                <w:color w:val="000000"/>
                <w:sz w:val="21"/>
              </w:rPr>
              <w:t>再现性</w:t>
            </w:r>
            <w:r>
              <w:rPr>
                <w:rFonts w:ascii="仿宋" w:hAnsi="仿宋" w:cs="仿宋" w:eastAsia="仿宋"/>
                <w:color w:val="000000"/>
                <w:sz w:val="21"/>
              </w:rPr>
              <w:t>和重复性</w:t>
            </w:r>
            <w:r>
              <w:rPr>
                <w:rFonts w:ascii="仿宋" w:hAnsi="仿宋" w:cs="仿宋" w:eastAsia="仿宋"/>
                <w:color w:val="000000"/>
                <w:sz w:val="21"/>
              </w:rPr>
              <w:t>，</w:t>
            </w:r>
            <w:r>
              <w:rPr>
                <w:rFonts w:ascii="仿宋" w:hAnsi="仿宋" w:cs="仿宋" w:eastAsia="仿宋"/>
                <w:color w:val="000000"/>
                <w:sz w:val="21"/>
              </w:rPr>
              <w:t>检测结果偏差</w:t>
            </w:r>
            <w:r>
              <w:rPr>
                <w:rFonts w:ascii="仿宋" w:hAnsi="仿宋" w:cs="仿宋" w:eastAsia="仿宋"/>
                <w:color w:val="000000"/>
                <w:sz w:val="21"/>
              </w:rPr>
              <w:t>小于</w:t>
            </w:r>
            <w:r>
              <w:rPr>
                <w:rFonts w:ascii="仿宋" w:hAnsi="仿宋" w:cs="仿宋" w:eastAsia="仿宋"/>
                <w:color w:val="000000"/>
                <w:sz w:val="21"/>
              </w:rPr>
              <w:t>±2.0%范围。</w:t>
            </w:r>
            <w:r>
              <w:rPr>
                <w:rFonts w:ascii="仿宋" w:hAnsi="仿宋" w:cs="仿宋" w:eastAsia="仿宋"/>
                <w:color w:val="000000"/>
                <w:sz w:val="21"/>
              </w:rPr>
              <w:t>（</w:t>
            </w:r>
            <w:r>
              <w:rPr>
                <w:rFonts w:ascii="仿宋" w:hAnsi="仿宋" w:cs="仿宋" w:eastAsia="仿宋"/>
                <w:color w:val="000000"/>
                <w:sz w:val="21"/>
              </w:rPr>
              <w:t>提供不少于</w:t>
            </w:r>
            <w:r>
              <w:rPr>
                <w:rFonts w:ascii="仿宋" w:hAnsi="仿宋" w:cs="仿宋" w:eastAsia="仿宋"/>
                <w:color w:val="000000"/>
                <w:sz w:val="21"/>
              </w:rPr>
              <w:t>3份的不同样品浆料检测结果证明材料</w:t>
            </w:r>
            <w:r>
              <w:rPr>
                <w:rFonts w:ascii="仿宋" w:hAnsi="仿宋" w:cs="仿宋" w:eastAsia="仿宋"/>
                <w:color w:val="000000"/>
                <w:sz w:val="21"/>
              </w:rPr>
              <w:t>）</w:t>
            </w:r>
          </w:p>
          <w:p>
            <w:pPr>
              <w:pStyle w:val="null3"/>
              <w:jc w:val="both"/>
            </w:pPr>
            <w:r>
              <w:rPr>
                <w:rFonts w:ascii="仿宋" w:hAnsi="仿宋" w:cs="仿宋" w:eastAsia="仿宋"/>
                <w:sz w:val="21"/>
              </w:rPr>
              <w:t>8、采用专用软件进行操作和控制。</w:t>
            </w:r>
          </w:p>
          <w:p>
            <w:pPr>
              <w:pStyle w:val="null3"/>
              <w:jc w:val="both"/>
            </w:pPr>
            <w:r>
              <w:rPr>
                <w:rFonts w:ascii="仿宋" w:hAnsi="仿宋" w:cs="仿宋" w:eastAsia="仿宋"/>
                <w:sz w:val="21"/>
              </w:rPr>
              <w:t>★9、配置：</w:t>
            </w:r>
          </w:p>
          <w:p>
            <w:pPr>
              <w:pStyle w:val="null3"/>
              <w:jc w:val="both"/>
            </w:pPr>
            <w:r>
              <w:rPr>
                <w:rFonts w:ascii="仿宋" w:hAnsi="仿宋" w:cs="仿宋" w:eastAsia="仿宋"/>
                <w:sz w:val="21"/>
              </w:rPr>
              <w:t>1）纸浆粘度计主机1台。</w:t>
            </w:r>
          </w:p>
          <w:p>
            <w:pPr>
              <w:pStyle w:val="null3"/>
              <w:jc w:val="both"/>
            </w:pPr>
            <w:r>
              <w:rPr>
                <w:rFonts w:ascii="仿宋" w:hAnsi="仿宋" w:cs="仿宋" w:eastAsia="仿宋"/>
                <w:sz w:val="21"/>
              </w:rPr>
              <w:t>2）专用的纸浆粘度计配套软件和数据显示系统，提供内部和外部校正功能。</w:t>
            </w:r>
          </w:p>
          <w:p>
            <w:pPr>
              <w:pStyle w:val="null3"/>
              <w:jc w:val="both"/>
            </w:pPr>
            <w:r>
              <w:rPr>
                <w:rFonts w:ascii="仿宋" w:hAnsi="仿宋" w:cs="仿宋" w:eastAsia="仿宋"/>
                <w:sz w:val="21"/>
              </w:rPr>
              <w:t>3）恒温控制装置1套</w:t>
            </w:r>
            <w:r>
              <w:rPr>
                <w:rFonts w:ascii="仿宋" w:hAnsi="仿宋" w:cs="仿宋" w:eastAsia="仿宋"/>
                <w:sz w:val="21"/>
              </w:rPr>
              <w:t>，</w:t>
            </w:r>
            <w:r>
              <w:rPr>
                <w:rFonts w:ascii="仿宋" w:hAnsi="仿宋" w:cs="仿宋" w:eastAsia="仿宋"/>
                <w:sz w:val="21"/>
              </w:rPr>
              <w:t>包含不锈钢瓶夹和提升搁板</w:t>
            </w:r>
            <w:r>
              <w:rPr>
                <w:rFonts w:ascii="仿宋" w:hAnsi="仿宋" w:cs="仿宋" w:eastAsia="仿宋"/>
                <w:sz w:val="21"/>
              </w:rPr>
              <w:t>。</w:t>
            </w:r>
          </w:p>
          <w:p>
            <w:pPr>
              <w:pStyle w:val="null3"/>
              <w:jc w:val="both"/>
            </w:pPr>
            <w:r>
              <w:rPr>
                <w:rFonts w:ascii="仿宋" w:hAnsi="仿宋" w:cs="仿宋" w:eastAsia="仿宋"/>
                <w:sz w:val="21"/>
              </w:rPr>
              <w:t>4）配电子真空装置1套。</w:t>
            </w:r>
          </w:p>
          <w:p>
            <w:pPr>
              <w:pStyle w:val="null3"/>
              <w:jc w:val="both"/>
            </w:pPr>
            <w:r>
              <w:rPr>
                <w:rFonts w:ascii="仿宋" w:hAnsi="仿宋" w:cs="仿宋" w:eastAsia="仿宋"/>
                <w:sz w:val="21"/>
              </w:rPr>
              <w:t>5）50ml LDPE样品瓶10个，带2种不同的盖便于挤出瓶中残留空气。</w:t>
            </w:r>
          </w:p>
          <w:p>
            <w:pPr>
              <w:pStyle w:val="null3"/>
              <w:jc w:val="both"/>
            </w:pPr>
            <w:r>
              <w:rPr>
                <w:rFonts w:ascii="仿宋" w:hAnsi="仿宋" w:cs="仿宋" w:eastAsia="仿宋"/>
                <w:sz w:val="21"/>
              </w:rPr>
              <w:t>6）</w:t>
            </w:r>
            <w:r>
              <w:rPr>
                <w:rFonts w:ascii="仿宋" w:hAnsi="仿宋" w:cs="仿宋" w:eastAsia="仿宋"/>
                <w:sz w:val="21"/>
              </w:rPr>
              <w:t>配</w:t>
            </w:r>
            <w:r>
              <w:rPr>
                <w:rFonts w:ascii="仿宋" w:hAnsi="仿宋" w:cs="仿宋" w:eastAsia="仿宋"/>
                <w:sz w:val="21"/>
              </w:rPr>
              <w:t>震荡装置</w:t>
            </w:r>
            <w:r>
              <w:rPr>
                <w:rFonts w:ascii="仿宋" w:hAnsi="仿宋" w:cs="仿宋" w:eastAsia="仿宋"/>
                <w:sz w:val="21"/>
              </w:rPr>
              <w:t>1套。</w:t>
            </w:r>
          </w:p>
          <w:p>
            <w:pPr>
              <w:pStyle w:val="null3"/>
              <w:jc w:val="both"/>
            </w:pPr>
            <w:r>
              <w:rPr>
                <w:rFonts w:ascii="仿宋" w:hAnsi="仿宋" w:cs="仿宋" w:eastAsia="仿宋"/>
                <w:sz w:val="21"/>
              </w:rPr>
              <w:t>7）提供符合ISO 5351标准的2ml玻璃校正管2支。</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合同签订之日起120日历日内完成交付、安装及调试。</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四川轻化工大学宜宾校区</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1、全部货物安装调试完毕并验收合格，招标人接到中标人通知、中标人出具的合法、有效、完整的全额增值税专用发票后，达到付款条件起30日内，支付合同总金额的100.00%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按照《财政部关于进一步加强政府采购需求和履约验收管理的指导意见》（财库〔2016〕205号）、《四川轻化工大学采购项目验收管理办法》（川轻化〔2020〕11号）以及招标文件的质量要求和技术指标、中标人的投标文件及承诺与合同约定标准的要求进行验收；双方如对质量要求和技术指标的约定标准有相互抵触或异议的事项，由招标人在招标文件与投标文件中按质量要求和技术指标比较优胜的原则确定该项的约定标准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质保期为全部货物综合验收合格后三年。在质保期内软件免费升级，货物出现质量问题或发生故障，在接到招标人报修后，应于1小时内做出响应，24小时内提供故障解决方案，48小时内派出专业技术人员到现场进行维修处理，质保期内应承担调换修理的所有费用。如在72小时内无法修复，则提供部件冗余服务或采取应急措施，提供相同产品或不低于故障产品规格档次的备用产品供招标人使用；在质保期内，同一产品、同一质量问题连续两次维修仍无法正常使用的，中标人应在一个月内无偿更换相同品牌、相同型号及同等功能的全新产品，并对产品质量实行“三包”服务且重新计算质保期。</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因货物的质量问题发生争议，由质量技术监督部门或其指定的质量鉴定机构进行质量鉴定。货物符合标准的，鉴定费由招标人承担；货物不符合质量标准的，鉴定费由中标人承担。2、合同履行期间若双方发生争议，可协商或由有关部门调解解决，协商或调解不成的，双方均可向招标人所在地人民法院提请诉讼。</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jc w:val="left"/>
      </w:pPr>
      <w:r>
        <w:rPr/>
        <w:t>★1、产品包装：包装良好，保证设备表面无划伤、无碰撞痕迹等； ★2、售后服务：在质保期外，中标人继续提供优质服务，产品的更换、维修只收取元器件成本费用，不收取人工技术费用及差旅费（包括机票，住宿，交通费）等。 ★3、保证对用户提供优质的售后服务，无偿为用户提供相关的技术支持、技术咨询，每年不低于两次上门维护保养，包括免费检修、保养、设计、安装，及时掌握其所供货物使用情况，进行有效的服务和管理；倾听用户的建议及意见，解决用户的实际问题，最大程度地满足用户需求。 ★4、应按合同要求，在规定的时间及地点内，完成本项目的供货、安装调试及对用户进行货物的使用操作和基本维护培训工作，并按培训计划为用户免费培训1至2名维护人员。 ★5、其他商务（合同）要求：（1）中标人交付的货物质量不符合合同规定的，中标人应向招标人支付合同总价的百分之五的违约金，并须在合同规定的交货时间内更换合格的货物给招标人。（2）中标人货物经招标人送交具有法定资格条件的质量技术监督机构检测后，如检测结果认定货物质量不符合本合同规定标准的，则视为中标人没有按时交货而违约，中标人须在30天内无条件更换合格的货物，如逾期不能更换合格的货物，招标人有权终止本合同，并向中标人索赔双倍经济损失。（3）中标人保证本合同货物的权利无瑕疵，包括货物所有权及知识产权等权利无瑕疵。如任何第三方经法院（或仲裁机构）裁决有权对上述货物主张权利或国家机关依法对货物进行没收查处的，中标人除应向招标人返还已收款项外，还应另按合同总价的5%向招标人支付违约金并赔偿因此给招标人造成的一切损失。 6、投标人需根据本项目提供售后服务方案及售后服务能力包含：（1）培训计划、（2）售后服务方式、（3）服务人员安排、（4）响应及处理时间、（5）质量保证措施、（6）交货时间保证措施。（以上内容详细的评审标准见综合评分表。） 7、履约能力：投标人应具有2021年01月01日（含）以来的类似案例。 （以上内容详细的评审标准见综合评分表。） ★8、投标人提供的投标文件中的内容须清晰可见，内容模糊不清的视为无效。 注：针对“3.3.服务要求”和“3.4.其他要求”内容，投标人应在“服务应答表”中响应。</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1.投标人需在使用投标(响应)客户端编制投标文件时，按要求填写《投标（响应）函》完成承诺并进行电子签章。2.投标人需在使用投标(响应)客户端编制投标文件时，按要求上传相应证明材料并进行电子签章。（①可提供2021-2023年度（任意一年）经审计的财务报告复印件（包含审计报告和审计报告中所涉及的财务报表和报表附注）；②也可提供2021-2023年度（任意一年）投标人内部的财务报表复印件（至少包含资产负债表、现金流量表、利润表）；③也可提供距文件递交截止日一年内银行出具的资信证明（复印件）；④投标人注册时间至文件递交截止日不足一年的，也可提供在工商备案的公司章程（复印件）；⑤非营利性单位或者社会团体或者其他机关事业单位以符合财务会计制度为准或者提供承诺函；⑥投标人为自然人的提供承诺函（格式自拟）；⑦投标人也可提供财务会计制度承诺函（格式自拟）。）</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采购标的允许采购进口产品的，投标人所投产品为进口产品时须具备制造商针对该产品的授权。</w:t>
            </w:r>
          </w:p>
        </w:tc>
        <w:tc>
          <w:tcPr>
            <w:tcW w:type="dxa" w:w="3322"/>
          </w:tcPr>
          <w:p>
            <w:pPr>
              <w:pStyle w:val="null3"/>
              <w:jc w:val="left"/>
            </w:pPr>
            <w:r>
              <w:rPr/>
              <w:t>采购标的允许采购进口产品的，投标人所投产品为进口产品时须提供制造商针对该产品的授权影印件。</w:t>
            </w:r>
          </w:p>
        </w:tc>
        <w:tc>
          <w:tcPr>
            <w:tcW w:type="dxa" w:w="1910"/>
          </w:tcPr>
          <w:p>
            <w:pPr>
              <w:pStyle w:val="null3"/>
              <w:jc w:val="left"/>
            </w:pPr>
            <w:r>
              <w:rPr/>
              <w:t>特定资格证明材料</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不正当竞争预防措施（实质性要求）</w:t>
            </w:r>
          </w:p>
        </w:tc>
        <w:tc>
          <w:tcPr>
            <w:tcW w:type="dxa" w:w="3322"/>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t>报价表</w:t>
            </w:r>
          </w:p>
        </w:tc>
      </w:tr>
      <w:tr>
        <w:tc>
          <w:tcPr>
            <w:tcW w:type="dxa" w:w="581"/>
          </w:tcPr>
          <w:p>
            <w:pPr>
              <w:pStyle w:val="null3"/>
              <w:jc w:val="center"/>
            </w:pPr>
            <w:r>
              <w:rPr/>
              <w:t>3</w:t>
            </w:r>
          </w:p>
        </w:tc>
        <w:tc>
          <w:tcPr>
            <w:tcW w:type="dxa" w:w="2492"/>
          </w:tcPr>
          <w:p>
            <w:pPr>
              <w:pStyle w:val="null3"/>
              <w:jc w:val="left"/>
            </w:pPr>
            <w:r>
              <w:rPr/>
              <w:t>符合招标文件的实质性要求（实质性要求）</w:t>
            </w:r>
          </w:p>
        </w:tc>
        <w:tc>
          <w:tcPr>
            <w:tcW w:type="dxa" w:w="3322"/>
          </w:tcPr>
          <w:p>
            <w:pPr>
              <w:pStyle w:val="null3"/>
              <w:jc w:val="left"/>
            </w:pPr>
            <w:r>
              <w:rPr/>
              <w:t>投标人按照要求提供投标文件，并满足本招标文件的实质性要求，并按要求提供相关的证明材料。</w:t>
            </w:r>
          </w:p>
        </w:tc>
        <w:tc>
          <w:tcPr>
            <w:tcW w:type="dxa" w:w="1910"/>
          </w:tcPr>
          <w:p>
            <w:pPr>
              <w:pStyle w:val="null3"/>
              <w:jc w:val="left"/>
            </w:pPr>
            <w:r>
              <w:rPr/>
              <w:t>投标人应提交的相关证明材料 产品技术参数表应答表 报价表 服务应答表</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详细评审60.00分</w:t>
            </w:r>
          </w:p>
          <w:p>
            <w:pPr>
              <w:pStyle w:val="null3"/>
              <w:jc w:val="left"/>
            </w:pPr>
            <w:r>
              <w:rPr/>
              <w:t>报价得分40.00分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技术要求</w:t>
            </w:r>
          </w:p>
        </w:tc>
        <w:tc>
          <w:tcPr>
            <w:tcW w:type="dxa" w:w="2575"/>
          </w:tcPr>
          <w:p>
            <w:pPr>
              <w:pStyle w:val="null3"/>
              <w:jc w:val="left"/>
            </w:pPr>
            <w:r>
              <w:rPr/>
              <w:t>投标文件技术参数完全满足招标文件第三章“技术参数与性能指标”的得45分;投标文件技术参数与招标文件第三章“技术参数与性能指标”有负偏离的，按以下方式计算得分： 1.“▲”参数得分=（投标人满足“▲”参数的数量÷“▲”参数的总数量）×36分；招标文件中产品技术参数带“▲”号项的共12项。 2.一般参数得分=（投标人满足一般参数的数量÷一般参数的总数量）×9分；招标文件中产品技术参数非“▲”号项的共14项。 3.投标人此项得分=一般参数得分＋“▲”参数得分。 注：①带“▲”为重要参数，技术参数中有明确要求的按要求提供相关材料，若未提供佐证材料或参数负偏离的皆视为不满足；未作要求的,提供相对应产品佐证的证明材料 （产品彩页或产品说明书或检测报告并加盖投标人公章）。 ② 未带“▲”和“★”为一般参数，一般参数中技术参数中有明确要求的按要求提供相关材料，若未提供佐证材料或参数负偏离的皆视为不满足；未要求提供的以投标人应答为准。 ③无子项的要求，按该项扣分；有子项要求的，按照最末尾子项进行计算。</w:t>
            </w:r>
          </w:p>
        </w:tc>
        <w:tc>
          <w:tcPr>
            <w:tcW w:type="dxa" w:w="831"/>
          </w:tcPr>
          <w:p>
            <w:pPr>
              <w:pStyle w:val="null3"/>
              <w:jc w:val="center"/>
            </w:pPr>
            <w:r>
              <w:rPr/>
              <w:t>45.00</w:t>
            </w:r>
          </w:p>
        </w:tc>
        <w:tc>
          <w:tcPr>
            <w:tcW w:type="dxa" w:w="748"/>
          </w:tcPr>
          <w:p>
            <w:pPr>
              <w:pStyle w:val="null3"/>
              <w:jc w:val="center"/>
            </w:pPr>
            <w:r>
              <w:rPr/>
              <w:t>客观</w:t>
            </w:r>
          </w:p>
        </w:tc>
        <w:tc>
          <w:tcPr>
            <w:tcW w:type="dxa" w:w="1661"/>
          </w:tcPr>
          <w:p>
            <w:pPr>
              <w:pStyle w:val="null3"/>
              <w:jc w:val="left"/>
            </w:pPr>
            <w:r>
              <w:rPr/>
              <w:t>投标人应提交的相关证明材料</w:t>
            </w:r>
          </w:p>
          <w:p>
            <w:pPr>
              <w:pStyle w:val="null3"/>
              <w:jc w:val="left"/>
            </w:pPr>
            <w:r>
              <w:rPr/>
              <w:t>产品技术参数表应答表</w:t>
            </w:r>
          </w:p>
        </w:tc>
      </w:tr>
      <w:tr>
        <w:tc>
          <w:tcPr>
            <w:tcW w:type="dxa" w:w="831"/>
            <w:vMerge/>
          </w:tcPr>
          <w:p/>
        </w:tc>
        <w:tc>
          <w:tcPr>
            <w:tcW w:type="dxa" w:w="1661"/>
          </w:tcPr>
          <w:p>
            <w:pPr>
              <w:pStyle w:val="null3"/>
              <w:jc w:val="left"/>
            </w:pPr>
            <w:r>
              <w:rPr/>
              <w:t>售后服务方案及售后服务能力</w:t>
            </w:r>
          </w:p>
        </w:tc>
        <w:tc>
          <w:tcPr>
            <w:tcW w:type="dxa" w:w="2575"/>
          </w:tcPr>
          <w:p>
            <w:pPr>
              <w:pStyle w:val="null3"/>
              <w:jc w:val="left"/>
            </w:pPr>
            <w:r>
              <w:rPr/>
              <w:t>根据投标人提供的售后服务方案及售后服务能力进行综合评定，包括：（1）培训计划、（2）售后服务方式、（3）服务人员安排、（4）响应及处理时间、（5）质量保证措施、（6）交货时间保证措施。 1.投标人每提供一项以上内容的得0.5分，最多得3分，未提供不得分。 2.以上单项内容对应本次采购项目的采购需求，符合采购人需求且保证项目实施的（内容对应本次采购项目的采购需求，符合采购人需求且保证项目实施是指：方案内容与本项目服务内容及要求对应，不存在凭空编造、内容前后不一致，服务地点错误，内容缺失，阐述存在逻辑错误的情形，不存在内容无法实施或与实际实施存在差异，不存在套用其他项目的情形），每有一项内容符合加1分，最多加6分。</w:t>
            </w:r>
          </w:p>
        </w:tc>
        <w:tc>
          <w:tcPr>
            <w:tcW w:type="dxa" w:w="831"/>
          </w:tcPr>
          <w:p>
            <w:pPr>
              <w:pStyle w:val="null3"/>
              <w:jc w:val="center"/>
            </w:pPr>
            <w:r>
              <w:rPr/>
              <w:t>9.00</w:t>
            </w:r>
          </w:p>
        </w:tc>
        <w:tc>
          <w:tcPr>
            <w:tcW w:type="dxa" w:w="748"/>
          </w:tcPr>
          <w:p>
            <w:pPr>
              <w:pStyle w:val="null3"/>
              <w:jc w:val="center"/>
            </w:pPr>
            <w:r>
              <w:rPr/>
              <w:t>主观</w:t>
            </w:r>
          </w:p>
        </w:tc>
        <w:tc>
          <w:tcPr>
            <w:tcW w:type="dxa" w:w="1661"/>
          </w:tcPr>
          <w:p>
            <w:pPr>
              <w:pStyle w:val="null3"/>
              <w:jc w:val="left"/>
            </w:pPr>
            <w:r>
              <w:rPr/>
              <w:t>项目方案</w:t>
            </w:r>
          </w:p>
        </w:tc>
      </w:tr>
      <w:tr>
        <w:tc>
          <w:tcPr>
            <w:tcW w:type="dxa" w:w="831"/>
            <w:vMerge/>
          </w:tcPr>
          <w:p/>
        </w:tc>
        <w:tc>
          <w:tcPr>
            <w:tcW w:type="dxa" w:w="1661"/>
          </w:tcPr>
          <w:p>
            <w:pPr>
              <w:pStyle w:val="null3"/>
              <w:jc w:val="left"/>
            </w:pPr>
            <w:r>
              <w:rPr/>
              <w:t>履约能力</w:t>
            </w:r>
          </w:p>
        </w:tc>
        <w:tc>
          <w:tcPr>
            <w:tcW w:type="dxa" w:w="2575"/>
          </w:tcPr>
          <w:p>
            <w:pPr>
              <w:pStyle w:val="null3"/>
              <w:jc w:val="left"/>
            </w:pPr>
            <w:r>
              <w:rPr/>
              <w:t>提供投标人自2021年01月01日（含）以来的类似案例，每提供1份得1分，最多得6分，未提供则不得分。 注：提供完整的合同复印件，时间以合同签订时间为准。</w:t>
            </w:r>
          </w:p>
        </w:tc>
        <w:tc>
          <w:tcPr>
            <w:tcW w:type="dxa" w:w="831"/>
          </w:tcPr>
          <w:p>
            <w:pPr>
              <w:pStyle w:val="null3"/>
              <w:jc w:val="center"/>
            </w:pPr>
            <w:r>
              <w:rPr/>
              <w:t>6.00</w:t>
            </w:r>
          </w:p>
        </w:tc>
        <w:tc>
          <w:tcPr>
            <w:tcW w:type="dxa" w:w="748"/>
          </w:tcPr>
          <w:p>
            <w:pPr>
              <w:pStyle w:val="null3"/>
              <w:jc w:val="center"/>
            </w:pPr>
            <w:r>
              <w:rPr/>
              <w:t>客观</w:t>
            </w:r>
          </w:p>
        </w:tc>
        <w:tc>
          <w:tcPr>
            <w:tcW w:type="dxa" w:w="1661"/>
          </w:tcPr>
          <w:p>
            <w:pPr>
              <w:pStyle w:val="null3"/>
              <w:jc w:val="left"/>
            </w:pPr>
            <w:r>
              <w:rPr/>
              <w:t>投标人应提交的相关证明材料</w:t>
            </w:r>
          </w:p>
        </w:tc>
      </w:tr>
      <w:tr>
        <w:tc>
          <w:tcPr>
            <w:tcW w:type="dxa" w:w="831"/>
          </w:tcPr>
          <w:p>
            <w:pPr>
              <w:pStyle w:val="null3"/>
              <w:jc w:val="left"/>
            </w:pPr>
            <w:r>
              <w:rPr/>
              <w:t>价格分</w:t>
            </w:r>
          </w:p>
        </w:tc>
        <w:tc>
          <w:tcPr>
            <w:tcW w:type="dxa" w:w="1661"/>
          </w:tcPr>
          <w:p>
            <w:pPr>
              <w:pStyle w:val="null3"/>
              <w:jc w:val="left"/>
            </w:pPr>
            <w:r>
              <w:rPr/>
              <w:t>报价</w:t>
            </w:r>
          </w:p>
        </w:tc>
        <w:tc>
          <w:tcPr>
            <w:tcW w:type="dxa" w:w="2575"/>
          </w:tcPr>
          <w:p>
            <w:pPr>
              <w:pStyle w:val="null3"/>
              <w:jc w:val="left"/>
            </w:pPr>
            <w:r>
              <w:rPr/>
              <w:t>满足招标文件要求且投标价格最低的投标报价作为基准价，其价格分为满分，投标报价得分＝（基准价/投标报价）*40。</w:t>
            </w:r>
          </w:p>
        </w:tc>
        <w:tc>
          <w:tcPr>
            <w:tcW w:type="dxa" w:w="831"/>
          </w:tcPr>
          <w:p>
            <w:pPr>
              <w:pStyle w:val="null3"/>
              <w:jc w:val="center"/>
            </w:pPr>
            <w:r>
              <w:rPr/>
              <w:t>40.00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15.00%</w:t>
            </w:r>
          </w:p>
        </w:tc>
        <w:tc>
          <w:tcPr>
            <w:tcW w:type="dxa" w:w="1661"/>
          </w:tcPr>
          <w:p>
            <w:pPr>
              <w:pStyle w:val="null3"/>
              <w:jc w:val="left"/>
            </w:pPr>
            <w:r>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报价表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详见附件：投标人应提交的相关证明材料</w:t>
      </w:r>
    </w:p>
    <w:p>
      <w:pPr>
        <w:pStyle w:val="null3"/>
        <w:ind w:firstLine="960"/>
        <w:jc w:val="left"/>
      </w:pPr>
      <w:r>
        <w:rPr/>
        <w:t>详见附件：报价表</w:t>
      </w:r>
    </w:p>
    <w:p>
      <w:pPr>
        <w:pStyle w:val="null3"/>
        <w:ind w:firstLine="960"/>
        <w:jc w:val="left"/>
      </w:pPr>
      <w:r>
        <w:rPr/>
        <w:t>详见附件：产品技术参数表应答表</w:t>
      </w:r>
    </w:p>
    <w:p>
      <w:pPr>
        <w:pStyle w:val="null3"/>
        <w:ind w:firstLine="960"/>
        <w:jc w:val="left"/>
      </w:pPr>
      <w:r>
        <w:rPr/>
        <w:t>详见附件：服务应答表</w:t>
      </w:r>
    </w:p>
    <w:p>
      <w:pPr>
        <w:pStyle w:val="null3"/>
        <w:ind w:firstLine="960"/>
        <w:jc w:val="left"/>
      </w:pPr>
      <w:r>
        <w:rPr/>
        <w:t>详见附件：具有健全财务会计制度的证明材料</w:t>
      </w:r>
    </w:p>
    <w:p>
      <w:pPr>
        <w:pStyle w:val="null3"/>
        <w:ind w:firstLine="960"/>
        <w:jc w:val="left"/>
      </w:pPr>
      <w:r>
        <w:rPr/>
        <w:t>详见附件：项目方案</w:t>
      </w:r>
    </w:p>
    <w:p>
      <w:pPr>
        <w:pStyle w:val="null3"/>
        <w:ind w:firstLine="960"/>
        <w:jc w:val="left"/>
      </w:pPr>
      <w:r>
        <w:rPr/>
        <w:t>详见附件：特定资格证明材料</w:t>
      </w:r>
    </w:p>
    <w:p>
      <w:pPr>
        <w:pStyle w:val="null3"/>
      </w:pPr>
      <w:r>
        <w:rPr/>
        <w:t xml:space="preserve"> </w:t>
        <w:br/>
        <w:br w:type="page"/>
      </w:r>
    </w:p>
    <w:p>
      <w:pPr>
        <w:pStyle w:val="null3"/>
        <w:jc w:val="center"/>
        <w:outlineLvl w:val="1"/>
      </w:pPr>
      <w:r>
        <w:rPr>
          <w:b/>
          <w:sz w:val="36"/>
        </w:rPr>
        <w:t>第七章 拟签订合同文本</w:t>
      </w:r>
    </w:p>
    <w:p>
      <w:pPr>
        <w:pStyle w:val="null3"/>
        <w:jc w:val="left"/>
      </w:pPr>
      <w:r>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