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版本号：N510001202600132320260617004</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2026年日常零星维修材料供应服务采购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N5100012026001323</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四川宗兴国际招标有限公司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四川宗兴国际招标有限公司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2026年日常零星维修材料供应服务采购</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N5100012026001323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2026年日常零星维修材料供应服务采购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本项目为四川轻化工大学2026年维修材料供应服务采购项目，根据需要，拟采购学校日常维修维护需要使用的零星材料一批。内容包括电类（灯具、灯泡、灯管、电线电 缆、开关、插座、线管、电器材料等）；水类（供水管道及配件、供水阀门及附件、排水管道等）；木工、工具类（五金及配件、门锁、油漆、层板等；电工工具、木工工具、管道维 修工具等）。采购预算为119.50万元.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四川轻化工大学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四川宗兴国际招标有限公司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四川省成都市武侯区四川省成都市武侯区武兴四路203号1栋1单元507号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028-85234350-805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采购包1：1,195,000.00元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 xml:space="preserve">1. 交款时间：中标通知书发放后，政府采购合同签订前。成交人未按照招标文件的规定交纳履约保证金，且又无正当理由的，将视为放弃中标。 </w:t>
              <w:br/>
              <w:t xml:space="preserve">收款单位：四川轻化工大学 </w:t>
              <w:br/>
              <w:t xml:space="preserve">开户行：中国农业银行股份有限公司自贡学院路支行 </w:t>
              <w:br/>
              <w:t xml:space="preserve">银行账号：221061010400000035 </w:t>
              <w:br/>
              <w:t xml:space="preserve">2. 提供保函的担保机构必须是依法成立的具有相关资质和偿付能力的担保机构 (保函须为见索即付保函)。 </w:t>
              <w:br/>
              <w:t>3. 履约保证金退还时间及方式：经合同履约完成后，所供货物无任何质量和售后服务问题的情况下，供应商向采购人 (使用单位) 提出退还履约保证金申请，由采购人 (使用单位) 一次性向供应商无息退还。若供应商违约，采购人可以先从履约保证金中扣除违约金，不足部分供应商应另行支付，同时供应商应在 3 日内补足履约保证金。</w:t>
              <w:br/>
              <w:t xml:space="preserve">4. 履约保证金不予退还情形：①成交人不履行与采购人订立的合同的，履约保证金不予退还，给采购人造成的损失超过履约保证金数额的，还应当对超过部分予以赔偿。②项目验收结果不合格或涉及相关违约责任的，履约保证金将不予退还。③其他违反国家相关法律法规的情形。 </w:t>
              <w:br/>
              <w:t>5. 履约保证金不予退还的，将按照有关规定上缴国库。逾期退还履约保证金的，将依法承担法律责任，并赔偿采购人损失。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代理服务费收费标准：成交金额×0.45%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四川宗兴国际招标有限公司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四川轻化工大学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四川宗兴国际招标有限公司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合同期满或采购货物结算金额达到119.5万元</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对供应商提供的货物完整性、功能性以及其他商务内容进行验收。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按谈判文件、成交供应商响应文件应答参数、供应商提供的货物实际功能参数及双方合同约定进行验收。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按谈判文件、成交供应商响应文件应答内容及双方合同约定进行验收。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谈判文件的质量要求和技术指标、成交供应商的响应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联系电话：028-85234350-805</w:t>
      </w:r>
    </w:p>
    <w:p>
      <w:pPr>
        <w:pStyle w:val="null3"/>
        <w:jc w:val="left"/>
      </w:pPr>
      <w:r>
        <w:rPr>
          <w:rFonts w:ascii="仿宋_GB2312" w:hAnsi="仿宋_GB2312" w:cs="仿宋_GB2312" w:eastAsia="仿宋_GB2312"/>
        </w:rPr>
        <w:t>地址：成都市武侯区武兴四路智谷C8环球数码大厦1栋1单元507</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1,195,000.00</w:t>
      </w:r>
    </w:p>
    <w:p>
      <w:pPr>
        <w:pStyle w:val="null3"/>
        <w:jc w:val="left"/>
      </w:pPr>
      <w:r>
        <w:rPr>
          <w:rFonts w:ascii="仿宋_GB2312" w:hAnsi="仿宋_GB2312" w:cs="仿宋_GB2312" w:eastAsia="仿宋_GB2312"/>
        </w:rPr>
        <w:t>采购包最高限价（元）: 1,195,000.00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C23140800 五金、家具和室内装修材料专门零售服务</w:t>
            </w:r>
          </w:p>
        </w:tc>
        <w:tc>
          <w:tcPr>
            <w:tcW w:type="dxa" w:w="821"/>
          </w:tcPr>
          <w:p>
            <w:pPr>
              <w:pStyle w:val="null3"/>
              <w:jc w:val="left"/>
            </w:pPr>
            <w:r>
              <w:rPr>
                <w:rFonts w:ascii="仿宋_GB2312" w:hAnsi="仿宋_GB2312" w:cs="仿宋_GB2312" w:eastAsia="仿宋_GB2312"/>
              </w:rPr>
              <w:t>2026年日常零星维修材料供应服务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1,195,000.00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2026年日常零星维修材料供应服务采购</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C23140800 五金、家具和室内装修材料专门零售服务</w:t>
            </w:r>
          </w:p>
        </w:tc>
        <w:tc>
          <w:tcPr>
            <w:tcW w:type="dxa" w:w="2492"/>
          </w:tcPr>
          <w:p>
            <w:pPr>
              <w:pStyle w:val="null3"/>
              <w:jc w:val="left"/>
            </w:pPr>
            <w:r>
              <w:rPr>
                <w:rFonts w:ascii="仿宋_GB2312" w:hAnsi="仿宋_GB2312" w:cs="仿宋_GB2312" w:eastAsia="仿宋_GB2312"/>
              </w:rPr>
              <w:t>2026年日常零星维修材料供应服务</w:t>
            </w:r>
          </w:p>
        </w:tc>
        <w:tc>
          <w:tcPr>
            <w:tcW w:type="dxa" w:w="2492"/>
          </w:tcPr>
          <w:p>
            <w:pPr>
              <w:pStyle w:val="null3"/>
              <w:jc w:val="left"/>
            </w:pPr>
            <w:r>
              <w:rPr>
                <w:rFonts w:ascii="仿宋_GB2312" w:hAnsi="仿宋_GB2312" w:cs="仿宋_GB2312" w:eastAsia="仿宋_GB2312"/>
              </w:rPr>
              <w:t>高级面盆龙头等，因格式字数限制，具体强制采购节能产品以附件《四川轻化工大学2026年日常零星维修材料供应服务采购清单》载明为准</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C23140800 五金、家具和室内装修材料专门零售服务</w:t>
            </w:r>
          </w:p>
        </w:tc>
        <w:tc>
          <w:tcPr>
            <w:tcW w:type="dxa" w:w="2492"/>
          </w:tcPr>
          <w:p>
            <w:pPr>
              <w:pStyle w:val="null3"/>
              <w:jc w:val="left"/>
            </w:pPr>
            <w:r>
              <w:rPr>
                <w:rFonts w:ascii="仿宋_GB2312" w:hAnsi="仿宋_GB2312" w:cs="仿宋_GB2312" w:eastAsia="仿宋_GB2312"/>
              </w:rPr>
              <w:t>2026年日常零星维修材料供应服务</w:t>
            </w:r>
          </w:p>
        </w:tc>
        <w:tc>
          <w:tcPr>
            <w:tcW w:type="dxa" w:w="2492"/>
          </w:tcPr>
          <w:p>
            <w:pPr>
              <w:pStyle w:val="null3"/>
              <w:jc w:val="left"/>
            </w:pPr>
            <w:r>
              <w:rPr>
                <w:rFonts w:ascii="仿宋_GB2312" w:hAnsi="仿宋_GB2312" w:cs="仿宋_GB2312" w:eastAsia="仿宋_GB2312"/>
              </w:rPr>
              <w:t>LED球泡灯等，因格式字数限制，具体优先采购节能产品以附件《四川轻化工大学2026年日常零星维修材料供应服务采购清单》载明为准</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C23140800 五金、家具和室内装修材料专门零售服务</w:t>
            </w:r>
          </w:p>
        </w:tc>
        <w:tc>
          <w:tcPr>
            <w:tcW w:type="dxa" w:w="2492"/>
          </w:tcPr>
          <w:p>
            <w:pPr>
              <w:pStyle w:val="null3"/>
              <w:jc w:val="left"/>
            </w:pPr>
            <w:r>
              <w:rPr>
                <w:rFonts w:ascii="仿宋_GB2312" w:hAnsi="仿宋_GB2312" w:cs="仿宋_GB2312" w:eastAsia="仿宋_GB2312"/>
              </w:rPr>
              <w:t>2026年日常零星维修材料供应服务</w:t>
            </w:r>
          </w:p>
        </w:tc>
        <w:tc>
          <w:tcPr>
            <w:tcW w:type="dxa" w:w="2492"/>
          </w:tcPr>
          <w:p>
            <w:pPr>
              <w:pStyle w:val="null3"/>
              <w:jc w:val="left"/>
            </w:pPr>
            <w:r>
              <w:rPr>
                <w:rFonts w:ascii="仿宋_GB2312" w:hAnsi="仿宋_GB2312" w:cs="仿宋_GB2312" w:eastAsia="仿宋_GB2312"/>
              </w:rPr>
              <w:t>LED球泡灯等，因格式字数限制，具体优先采购环境标志产品以附件《四川轻化工大学2026年日常零星维修材料供应服务采购清单》载明为准</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标的名称：2026年日常零星维修材料供应服务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2"/>
              </w:rPr>
              <w:t>1、供应商须按照采购人要求提供</w:t>
            </w:r>
            <w:r>
              <w:rPr>
                <w:rFonts w:ascii="仿宋_GB2312" w:hAnsi="仿宋_GB2312" w:cs="仿宋_GB2312" w:eastAsia="仿宋_GB2312"/>
                <w:sz w:val="24"/>
                <w:color w:val="000000"/>
              </w:rPr>
              <w:t>日常零星维修材料</w:t>
            </w:r>
            <w:r>
              <w:rPr>
                <w:rFonts w:ascii="仿宋_GB2312" w:hAnsi="仿宋_GB2312" w:cs="仿宋_GB2312" w:eastAsia="仿宋_GB2312"/>
                <w:sz w:val="22"/>
              </w:rPr>
              <w:t>配送服务，</w:t>
            </w:r>
            <w:r>
              <w:rPr>
                <w:rFonts w:ascii="仿宋_GB2312" w:hAnsi="仿宋_GB2312" w:cs="仿宋_GB2312" w:eastAsia="仿宋_GB2312"/>
                <w:sz w:val="24"/>
                <w:color w:val="000000"/>
              </w:rPr>
              <w:t>采购清单详见附件</w:t>
            </w:r>
            <w:r>
              <w:rPr>
                <w:rFonts w:ascii="仿宋_GB2312" w:hAnsi="仿宋_GB2312" w:cs="仿宋_GB2312" w:eastAsia="仿宋_GB2312"/>
                <w:sz w:val="24"/>
                <w:color w:val="000000"/>
              </w:rPr>
              <w:t>：《</w:t>
            </w:r>
            <w:r>
              <w:rPr>
                <w:rFonts w:ascii="仿宋_GB2312" w:hAnsi="仿宋_GB2312" w:cs="仿宋_GB2312" w:eastAsia="仿宋_GB2312"/>
                <w:sz w:val="24"/>
                <w:color w:val="000000"/>
              </w:rPr>
              <w:t>四川轻化工大学</w:t>
            </w:r>
            <w:r>
              <w:rPr>
                <w:rFonts w:ascii="仿宋_GB2312" w:hAnsi="仿宋_GB2312" w:cs="仿宋_GB2312" w:eastAsia="仿宋_GB2312"/>
                <w:sz w:val="24"/>
                <w:color w:val="000000"/>
              </w:rPr>
              <w:t>2026年日常零星维修材料供应服务采购清单</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（本项目不仅限于清单所列内容，采购人根据工作实际需求如需配送清单上未载明的零星维修材料，供应商须按采购人实际需求提供配送服务）</w:t>
            </w:r>
            <w:r>
              <w:rPr>
                <w:rFonts w:ascii="仿宋_GB2312" w:hAnsi="仿宋_GB2312" w:cs="仿宋_GB2312" w:eastAsia="仿宋_GB2312"/>
                <w:sz w:val="22"/>
                <w:color w:val="000000"/>
              </w:rPr>
              <w:t>。【说明：供应商响应本条参数即视作已响应附件：《</w:t>
            </w:r>
            <w:r>
              <w:rPr>
                <w:rFonts w:ascii="仿宋_GB2312" w:hAnsi="仿宋_GB2312" w:cs="仿宋_GB2312" w:eastAsia="仿宋_GB2312"/>
                <w:sz w:val="24"/>
                <w:color w:val="000000"/>
              </w:rPr>
              <w:t>四川轻化工大学</w:t>
            </w:r>
            <w:r>
              <w:rPr>
                <w:rFonts w:ascii="仿宋_GB2312" w:hAnsi="仿宋_GB2312" w:cs="仿宋_GB2312" w:eastAsia="仿宋_GB2312"/>
                <w:sz w:val="24"/>
                <w:color w:val="000000"/>
              </w:rPr>
              <w:t>2026年日常零星维修材料供应服务采购清单</w:t>
            </w:r>
            <w:r>
              <w:rPr>
                <w:rFonts w:ascii="仿宋_GB2312" w:hAnsi="仿宋_GB2312" w:cs="仿宋_GB2312" w:eastAsia="仿宋_GB2312"/>
                <w:sz w:val="22"/>
                <w:color w:val="000000"/>
              </w:rPr>
              <w:t>》</w:t>
            </w:r>
            <w:r>
              <w:rPr>
                <w:rFonts w:ascii="仿宋_GB2312" w:hAnsi="仿宋_GB2312" w:cs="仿宋_GB2312" w:eastAsia="仿宋_GB2312"/>
                <w:sz w:val="24"/>
                <w:color w:val="000000"/>
              </w:rPr>
              <w:t>全部内容，附件内容可不在技术要求响应表中填写。</w:t>
            </w:r>
            <w:r>
              <w:rPr>
                <w:rFonts w:ascii="仿宋_GB2312" w:hAnsi="仿宋_GB2312" w:cs="仿宋_GB2312" w:eastAsia="仿宋_GB2312"/>
                <w:sz w:val="22"/>
                <w:color w:val="000000"/>
              </w:rPr>
              <w:t>】</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2"/>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1）本项目据实结算，按照实际配送数量、产品基准价及成交折扣率进行结算【结算单价=产品基准价*折扣率】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2）基准价 :①当批货物基准价以供应商报价当日，以同规格型号、同数量的京东商城自营店铺价格为基准价。②如京东商城自营店铺无相关产品，则以京东商城3家店铺的平均价为基准价，不足3家或无法查询到价格，由双方根据市场3家实体店铺认质认价的平均价为结算单价（注：市场3家实体店铺认质认价的平均价直接作为实际结算单价，不再执行价格折扣，该单价有效期一年，电缆产品除外）。</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4"/>
                <w:color w:val="000000"/>
              </w:rPr>
              <w:t>学校后勤管理部门通过书面、微信、电话等方式下达材料需求指令，供应商须</w:t>
            </w:r>
            <w:r>
              <w:rPr>
                <w:rFonts w:ascii="仿宋_GB2312" w:hAnsi="仿宋_GB2312" w:cs="仿宋_GB2312" w:eastAsia="仿宋_GB2312"/>
                <w:sz w:val="24"/>
                <w:color w:val="000000"/>
              </w:rPr>
              <w:t>7×24 小时全天候响应，一般需求72小时送达指定地点，紧急需求2小时内送达指定地点</w:t>
            </w:r>
            <w:r>
              <w:rPr>
                <w:rFonts w:ascii="仿宋_GB2312" w:hAnsi="仿宋_GB2312" w:cs="仿宋_GB2312" w:eastAsia="仿宋_GB2312"/>
                <w:sz w:val="24"/>
                <w:color w:val="000000"/>
              </w:rPr>
              <w:t>，无节假日、周末休息限制。</w:t>
            </w:r>
          </w:p>
          <w:p>
            <w:pPr>
              <w:pStyle w:val="null3"/>
              <w:jc w:val="left"/>
            </w:pPr>
            <w:r>
              <w:rPr>
                <w:rFonts w:ascii="仿宋_GB2312" w:hAnsi="仿宋_GB2312" w:cs="仿宋_GB2312" w:eastAsia="仿宋_GB2312"/>
                <w:sz w:val="22"/>
              </w:rPr>
              <w:t>3、</w:t>
            </w:r>
            <w:r>
              <w:rPr>
                <w:rFonts w:ascii="仿宋_GB2312" w:hAnsi="仿宋_GB2312" w:cs="仿宋_GB2312" w:eastAsia="仿宋_GB2312"/>
                <w:sz w:val="24"/>
                <w:color w:val="000000"/>
              </w:rPr>
              <w:t>供应商须指定</w:t>
            </w:r>
            <w:r>
              <w:rPr>
                <w:rFonts w:ascii="仿宋_GB2312" w:hAnsi="仿宋_GB2312" w:cs="仿宋_GB2312" w:eastAsia="仿宋_GB2312"/>
                <w:sz w:val="24"/>
                <w:color w:val="000000"/>
              </w:rPr>
              <w:t>1 名固定项目负责人 + 2 名以上专职配送人员，其中至少一人具备机动车驾驶证（C1 及以上有效驾驶证，与配送车辆所需驾驶证等级匹配），保持联系方式 24 小时畅通，负责订单对接、配送调度、售后协调，不得随意更换对接人员，更换须提前报备采购人。（供应商在响应文件中提供项目负责人身份证、劳动合同复印件或近6个月中任意1个月该人员在供应商单位的社保缴纳证明复印件并进行电子签章。供应商承诺，签定合同后，提供专职配送人员身份证复印件，劳动合同复印件，驾驶证复印件，承诺函格式自拟，并进行电子签章。）</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4"/>
                <w:color w:val="000000"/>
              </w:rPr>
              <w:t>严格遵守校园管理规定，配送人员（车辆）文明作业，遵守校园交通、门禁、防疫、安全管理要求，服从学校后勤管理部门调度。</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、所供货物符合国家或行业相关标准。</w:t>
            </w:r>
          </w:p>
          <w:p>
            <w:pPr>
              <w:pStyle w:val="null3"/>
              <w:jc w:val="left"/>
            </w:pPr>
            <w:r>
              <w:rPr>
                <w:rFonts w:ascii="仿宋_GB2312" w:hAnsi="仿宋_GB2312" w:cs="仿宋_GB2312" w:eastAsia="仿宋_GB2312"/>
                <w:sz w:val="22"/>
              </w:rPr>
              <w:t>6、</w:t>
            </w:r>
            <w:r>
              <w:rPr>
                <w:rFonts w:ascii="仿宋_GB2312" w:hAnsi="仿宋_GB2312" w:cs="仿宋_GB2312" w:eastAsia="仿宋_GB2312"/>
                <w:sz w:val="24"/>
                <w:color w:val="000000"/>
              </w:rPr>
              <w:t>配送范围覆盖四川轻化工大学全部校区【汇东校区（本部）：四川省自贡市自流井区汇兴路</w:t>
            </w:r>
            <w:r>
              <w:rPr>
                <w:rFonts w:ascii="仿宋_GB2312" w:hAnsi="仿宋_GB2312" w:cs="仿宋_GB2312" w:eastAsia="仿宋_GB2312"/>
                <w:sz w:val="24"/>
                <w:color w:val="000000"/>
              </w:rPr>
              <w:t>519 号、李白河校区：四川省自贡市大安区永田路 100 号、宜宾校区：四川省宜宾市三江新区白塔路 1 号】，按采购人指定的后勤仓库、各楼宇维修点位、施工场地精准、配送时间送货上门，按需卸货、摆放整齐，采购人不再另行支付任何费用。</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4"/>
                <w:color w:val="000000"/>
              </w:rPr>
              <w:t>材料出现质量问题，供应商须</w:t>
            </w:r>
            <w:r>
              <w:rPr>
                <w:rFonts w:ascii="仿宋_GB2312" w:hAnsi="仿宋_GB2312" w:cs="仿宋_GB2312" w:eastAsia="仿宋_GB2312"/>
                <w:sz w:val="24"/>
                <w:color w:val="000000"/>
              </w:rPr>
              <w:t>72小时内完成换新配送，不得向学校收取任何费用。（2）因规格选错、使用不匹配需退换货的，供应商须在采购人通知后 72小时内完成调换配送。（3）提供售后技术咨询服务，对水电、五金材料选型、规格匹配提供专业指导，配合学校维修人员使用。</w:t>
            </w:r>
          </w:p>
          <w:p>
            <w:pPr>
              <w:pStyle w:val="null3"/>
              <w:ind w:firstLine="200"/>
              <w:jc w:val="left"/>
            </w:pPr>
            <w:r>
              <w:rPr>
                <w:rFonts w:ascii="仿宋_GB2312" w:hAnsi="仿宋_GB2312" w:cs="仿宋_GB2312" w:eastAsia="仿宋_GB2312"/>
                <w:sz w:val="24"/>
                <w:color w:val="000000"/>
              </w:rPr>
              <w:t>8、配送车辆合规，车况良好，严禁无资质、无安全保障车辆入校；配送人员着装规范，文明服务，不随意进入非作业区域。（供应商需在响应文件中提供车辆证明材料，自有车辆：机动车行驶证复印件、车辆登记证书复印件；租赁车辆：车辆租赁协议复印件、机动车行驶证复印件。）临时更换车辆或人员，需提前与采购人沟通，获得采购人同意后，提交备案资料。</w:t>
            </w:r>
          </w:p>
          <w:p>
            <w:pPr>
              <w:pStyle w:val="null3"/>
              <w:jc w:val="left"/>
            </w:pPr>
            <w:r>
              <w:rPr>
                <w:rFonts w:ascii="仿宋_GB2312" w:hAnsi="仿宋_GB2312" w:cs="仿宋_GB2312" w:eastAsia="仿宋_GB2312"/>
                <w:sz w:val="24"/>
                <w:color w:val="000000"/>
              </w:rPr>
              <w:t>9、材料分类包装、捆扎牢固，电线电缆、管材、灯具、五金小件等分开包装，避免运输破损、受潮、挤压变形；易碎灯具、玻璃配件做好防震防护。</w:t>
            </w:r>
          </w:p>
          <w:p>
            <w:pPr>
              <w:pStyle w:val="null3"/>
              <w:jc w:val="left"/>
            </w:pPr>
            <w:r>
              <w:rPr>
                <w:rFonts w:ascii="仿宋_GB2312" w:hAnsi="仿宋_GB2312" w:cs="仿宋_GB2312" w:eastAsia="仿宋_GB2312"/>
                <w:sz w:val="24"/>
                <w:color w:val="000000"/>
              </w:rPr>
              <w:t>10、供应商须建立常用维修材料安全库存，电类（灯具、灯泡、电线、开关插座、线管等）、水类（管材、阀门、管件等）、五金工具、油漆、门锁等高频使用材料足量备货，保障随时调取配送。</w:t>
            </w:r>
          </w:p>
          <w:p>
            <w:pPr>
              <w:pStyle w:val="null3"/>
              <w:jc w:val="left"/>
            </w:pPr>
            <w:r>
              <w:rPr>
                <w:rFonts w:ascii="仿宋_GB2312" w:hAnsi="仿宋_GB2312" w:cs="仿宋_GB2312" w:eastAsia="仿宋_GB2312"/>
                <w:sz w:val="24"/>
                <w:color w:val="000000"/>
              </w:rPr>
              <w:t>11、建立库存台账，定期盘点更新，及时补充缺货材料；主动对接采购人，预估季节性、集中维保材料需求，提前备货，保障物资供应。</w:t>
            </w:r>
            <w:r>
              <w:br/>
            </w:r>
            <w:r>
              <w:rPr>
                <w:rFonts w:ascii="仿宋_GB2312" w:hAnsi="仿宋_GB2312" w:cs="仿宋_GB2312" w:eastAsia="仿宋_GB2312"/>
                <w:sz w:val="24"/>
                <w:color w:val="000000"/>
              </w:rPr>
              <w:t xml:space="preserve"> 12、建立配送服务台账，详细记录订单信息、配送时间、送达地点、验收情况、售后问题，按月整理提交采购人备案。</w:t>
            </w:r>
            <w:r>
              <w:br/>
            </w:r>
            <w:r>
              <w:rPr>
                <w:rFonts w:ascii="仿宋_GB2312" w:hAnsi="仿宋_GB2312" w:cs="仿宋_GB2312" w:eastAsia="仿宋_GB2312"/>
                <w:sz w:val="24"/>
                <w:color w:val="000000"/>
              </w:rPr>
              <w:t xml:space="preserve"> 13、</w:t>
            </w:r>
            <w:r>
              <w:rPr>
                <w:rFonts w:ascii="仿宋_GB2312" w:hAnsi="仿宋_GB2312" w:cs="仿宋_GB2312" w:eastAsia="仿宋_GB2312"/>
                <w:sz w:val="24"/>
                <w:color w:val="000000"/>
              </w:rPr>
              <w:t>提供售后技术咨询服务，对水电、五金材料选型、规格匹配提供专业指导，配合学校维修人员使用。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自合同签订生效之日起 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四川轻化工大学各校区（采购人指定地点）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采购人现场对材料规格、数量、外观、质量逐项验收，核对订单需求，验收完成后双方签字确认送货单据，作为对账、结算依据。如发生数量短缺、规格不符、质量瑕疵、采购人有权拒收，供应商不得强行卸货，且须在 72小时内补足或重新更换合格产品并配送到位。2.每次配送须随货提供送货清单（含名称、规格、型号、品牌、数量、单价、批次）、产品合格证、质检报告、3C 认证（电器类）、如涉及《节能产品政府采购品目清单》、《环境标志产品政府采购品目清单》目录内的产品还需提供相关证书。3.按照《财政部关于进一步加强政府采购需求和履约验收管理的指导意见》（财库〔2016〕205号）、《政府采购需求管理办法（财库〔2021〕22号）》、《四川轻化工大学采购项目验收管理办法（川轻化〔2020〕11号）》以及采购文件的要求、中标（成交）供应商的投标（响应）文件及承诺与合同约定的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1、当月配送完成，次月10日前，供应商出具的合法、有效、完整的全额增值税发票、结算清单给采购人，采购人核实无误后，达到付款条件起14日内，据实情况说明为采购人支付当月结算金额的 100% 。据实条件说明：①若遇甲方寒暑假、财务扎账、财政性资金结转等原因，付款时间可作适当顺延且不视为违约。②结算单价=产品基准价*折扣率</w:t>
            </w:r>
          </w:p>
          <w:p>
            <w:pPr>
              <w:pStyle w:val="null3"/>
              <w:jc w:val="left"/>
            </w:pPr>
            <w:r>
              <w:rPr>
                <w:rFonts w:ascii="仿宋_GB2312" w:hAnsi="仿宋_GB2312" w:cs="仿宋_GB2312" w:eastAsia="仿宋_GB2312"/>
              </w:rPr>
              <w:t>2、当月配送完成，次月10日前，供应商出具的合法、有效、完整的全额增值税发票、结算清单给采购人，采购人核实无误后，达到付款条件起14日内，据实情况说明为采购人支付当月结算金额的 100% 。据实条件说明：①若遇甲方寒暑假、财务扎账、财政性资金结转等原因，付款时间可作适当顺延且不视为违约。②结算单价=产品基准价*折扣率</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1.采购人违约责任：采购人无故拒收合格货物、擅自解除合同，给供应商造成损失的，应承担相应赔偿责任。 2.供应商违约责任：供应商未按照响应文件中承诺的送货响应时间及时提供订单中的全部材料，每逾期一次，学校将收取违约金人民币 1000元，违约金直接在应支付材料款或者履约保证金中扣除，以学校后勤保障部书面通知为准，违约超过 5 次，学校有权解除采购合同，供应商缴纳的履约保证金不再退还。 3.解决争议的方法：（1）因本合同及合同有关事项发生的争议，由甲乙双方友好协商解决。协商不成时，可以向有关组织申请调解。合同一方或双方不愿调解或调解不成的，可以通过仲裁或诉讼的方式解决争议。 (2)选择仲裁的，应在甲方所在地仲裁机构及仲裁地；通过诉讼方式解决的，向甲方所在地人民法院提请诉讼，但管辖法院的约定不得违反级别管辖和专属管辖的规定。 (3)如甲乙双方有争议的事项不影响合同其他部分的履行，在争议解决期间，合同其他部分应当继续履行。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提供相关证明材料：①若供应商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响应文件封面,投标（响应）函,具有独立承担民事责任的能力的证明材料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1、投标人需在使用投标（响应）客户端编制投标文件时，按要求上传相应证明材料并进行电子签章。 2、提供相关证明材料（以下5项资料中，根据自身情况任意选择1项提供）：①可提供2023-2025年任意一年经审计的完整有效的财务报告复印件；②也可提供2023-2025年任意一年供应商内部的财务报表复印件（至少应包含资产负债表）；③也可提供截至投标文件提交截止之日前一年内银行出具的资信证明；④供应商注册时间截至投标文件提交截止之日前不足一年的，也可提供在相关主管部门备案的公司章程。⑤若供应商为个体工商户或自然人时，可提供承诺函（格式自拟）。</w:t>
            </w:r>
          </w:p>
        </w:tc>
        <w:tc>
          <w:tcPr>
            <w:tcW w:type="dxa" w:w="1661"/>
          </w:tcPr>
          <w:p>
            <w:pPr>
              <w:pStyle w:val="null3"/>
              <w:jc w:val="left"/>
            </w:pPr>
            <w:r>
              <w:rPr>
                <w:rFonts w:ascii="仿宋_GB2312" w:hAnsi="仿宋_GB2312" w:cs="仿宋_GB2312" w:eastAsia="仿宋_GB2312"/>
              </w:rPr>
              <w:t>具有健全的财务会计制度的证明材料,投标（响应）函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投标人提供证明材料</w:t>
            </w:r>
          </w:p>
        </w:tc>
        <w:tc>
          <w:tcPr>
            <w:tcW w:type="dxa" w:w="1661"/>
          </w:tcPr>
          <w:p>
            <w:pPr>
              <w:pStyle w:val="null3"/>
              <w:jc w:val="left"/>
            </w:pPr>
            <w:r>
              <w:rPr>
                <w:rFonts w:ascii="仿宋_GB2312" w:hAnsi="仿宋_GB2312" w:cs="仿宋_GB2312" w:eastAsia="仿宋_GB2312"/>
              </w:rPr>
              <w:t>技术要求应答表,供应商应提交的相关证明材料,报价表,投标（响应）函,服务要求应答表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供应商的投标文件中不存在招标文件规定的无效情形</w:t>
            </w:r>
          </w:p>
        </w:tc>
        <w:tc>
          <w:tcPr>
            <w:tcW w:type="dxa" w:w="3322"/>
          </w:tcPr>
          <w:p>
            <w:pPr>
              <w:pStyle w:val="null3"/>
              <w:jc w:val="left"/>
            </w:pPr>
            <w:r>
              <w:rPr>
                <w:rFonts w:ascii="仿宋_GB2312" w:hAnsi="仿宋_GB2312" w:cs="仿宋_GB2312" w:eastAsia="仿宋_GB2312"/>
              </w:rPr>
              <w:t>供应商的投标文件中不存在招标文件规定的无效情形</w:t>
            </w:r>
          </w:p>
        </w:tc>
        <w:tc>
          <w:tcPr>
            <w:tcW w:type="dxa" w:w="1661"/>
          </w:tcPr>
          <w:p>
            <w:pPr>
              <w:pStyle w:val="null3"/>
              <w:jc w:val="left"/>
            </w:pPr>
            <w:r>
              <w:rPr>
                <w:rFonts w:ascii="仿宋_GB2312" w:hAnsi="仿宋_GB2312" w:cs="仿宋_GB2312" w:eastAsia="仿宋_GB2312"/>
              </w:rPr>
              <w:t>技术要求应答表,供应商应提交的相关证明材料,报价表,投标（响应）函,服务要求应答表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经评标委员会评审，通过资格和符合性审查，且响应报价最低的供应商的响应报价作为评标基准价。2.响应报价得分=(评审基准价／响应报价)×评审系数。评审价格=响应报价。</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详见附件：具有独立承担民事责任的能力的证明材料</w:t>
      </w:r>
    </w:p>
    <w:p>
      <w:pPr>
        <w:pStyle w:val="null3"/>
        <w:ind w:firstLine="960"/>
        <w:jc w:val="left"/>
      </w:pPr>
      <w:r>
        <w:rPr>
          <w:rFonts w:ascii="仿宋_GB2312" w:hAnsi="仿宋_GB2312" w:cs="仿宋_GB2312" w:eastAsia="仿宋_GB2312"/>
        </w:rPr>
        <w:t>详见附件：具有健全的财务会计制度的证明材料</w:t>
      </w:r>
    </w:p>
    <w:p>
      <w:pPr>
        <w:pStyle w:val="null3"/>
        <w:ind w:firstLine="960"/>
        <w:jc w:val="left"/>
      </w:pPr>
      <w:r>
        <w:rPr>
          <w:rFonts w:ascii="仿宋_GB2312" w:hAnsi="仿宋_GB2312" w:cs="仿宋_GB2312" w:eastAsia="仿宋_GB2312"/>
        </w:rPr>
        <w:t>详见附件：技术要求应答表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