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版本号：N510001202600181820260707001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大学物理教学部声速测量实验系统设备购置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N5100012026001818</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中凯环球国际招标有限公司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中凯环球国际招标有限公司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大学物理教学部声速测量实验系统设备购置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N5100012026001818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大学物理教学部声速测量实验系统设备购置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声速测定实验规划为“大学物理实验”课程的项目之一，面向全校约4000人/年，涉及波动理论、振动理论、传感器技术和电子测量技术等多学科知识，是连接理论教学和实际应用的重要桥梁。通过实验，学生能够将抽象的波动理论与具体的物理现象相联系，深化对波动传播、干涉、衍射等现象的理解。同时，实验涉及的压电效应和电声转换原理是现代传感技术的基础。</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四川轻化工大学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中凯环球国际招标有限公司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自贡市沿滩新城板仓九期天海苑2商业用房2层3至8号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王超奇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0813-8558700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代理服务费收费标准：代理服务费按成交金额的0.7 %收取，若计算后不足3000.00元的，按3000.00元收取，由成交供应商支付。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中凯环球国际招标有限公司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中凯环球国际招标有限公司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中标人提出验收申请之日起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对投标人提供的货物完整性、功能性以及其他商务内容进行验收。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按招标文件、中标供应商投标文件应答参数、投标人提供的货物实际功能参数及双方合同约定进行验收。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按招标文件、中标供应商投标文件应答内容及双方合同约定进行验收。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供应商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中凯环球国际招标有限公司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中凯环球国际招标有限公司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联系人：代老师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联系人：王超奇</w:t>
      </w:r>
    </w:p>
    <w:p>
      <w:pPr>
        <w:pStyle w:val="null3"/>
        <w:jc w:val="left"/>
      </w:pPr>
      <w:r>
        <w:rPr>
          <w:rFonts w:ascii="仿宋_GB2312" w:hAnsi="仿宋_GB2312" w:cs="仿宋_GB2312" w:eastAsia="仿宋_GB2312"/>
        </w:rPr>
        <w:t>联系电话：0813-8558700</w:t>
      </w:r>
    </w:p>
    <w:p>
      <w:pPr>
        <w:pStyle w:val="null3"/>
        <w:jc w:val="left"/>
      </w:pPr>
      <w:r>
        <w:rPr>
          <w:rFonts w:ascii="仿宋_GB2312" w:hAnsi="仿宋_GB2312" w:cs="仿宋_GB2312" w:eastAsia="仿宋_GB2312"/>
        </w:rPr>
        <w:t>地址：自贡市沿滩新城板仓九期天海苑2商业用房2层3至8号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140,000.00</w:t>
      </w:r>
    </w:p>
    <w:p>
      <w:pPr>
        <w:pStyle w:val="null3"/>
        <w:jc w:val="left"/>
      </w:pPr>
      <w:r>
        <w:rPr>
          <w:rFonts w:ascii="仿宋_GB2312" w:hAnsi="仿宋_GB2312" w:cs="仿宋_GB2312" w:eastAsia="仿宋_GB2312"/>
        </w:rPr>
        <w:t>采购包最高限价（元）: 140,000.00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声速测量实验仪</w:t>
            </w:r>
          </w:p>
        </w:tc>
        <w:tc>
          <w:tcPr>
            <w:tcW w:type="dxa" w:w="821"/>
          </w:tcPr>
          <w:p>
            <w:pPr>
              <w:pStyle w:val="null3"/>
              <w:jc w:val="right"/>
            </w:pPr>
            <w:r>
              <w:rPr>
                <w:rFonts w:ascii="仿宋_GB2312" w:hAnsi="仿宋_GB2312" w:cs="仿宋_GB2312" w:eastAsia="仿宋_GB2312"/>
              </w:rPr>
              <w:t>16.00（台）</w:t>
            </w:r>
          </w:p>
        </w:tc>
        <w:tc>
          <w:tcPr>
            <w:tcW w:type="dxa" w:w="821"/>
          </w:tcPr>
          <w:p>
            <w:pPr>
              <w:pStyle w:val="null3"/>
              <w:jc w:val="right"/>
            </w:pPr>
            <w:r>
              <w:rPr>
                <w:rFonts w:ascii="仿宋_GB2312" w:hAnsi="仿宋_GB2312" w:cs="仿宋_GB2312" w:eastAsia="仿宋_GB2312"/>
              </w:rPr>
              <w:t>140,000.00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声速测量实验仪</w:t>
            </w:r>
          </w:p>
        </w:tc>
        <w:tc>
          <w:tcPr>
            <w:tcW w:type="dxa" w:w="1138"/>
          </w:tcPr>
          <w:p>
            <w:pPr>
              <w:pStyle w:val="null3"/>
              <w:jc w:val="center"/>
            </w:pPr>
            <w:r>
              <w:rPr>
                <w:rFonts w:ascii="仿宋_GB2312" w:hAnsi="仿宋_GB2312" w:cs="仿宋_GB2312" w:eastAsia="仿宋_GB2312"/>
              </w:rPr>
              <w:t>16.00（台）</w:t>
            </w:r>
          </w:p>
        </w:tc>
        <w:tc>
          <w:tcPr>
            <w:tcW w:type="dxa" w:w="1365"/>
          </w:tcPr>
          <w:p>
            <w:pPr>
              <w:pStyle w:val="null3"/>
              <w:jc w:val="center"/>
            </w:pPr>
            <w:r>
              <w:rPr>
                <w:rFonts w:ascii="仿宋_GB2312" w:hAnsi="仿宋_GB2312" w:cs="仿宋_GB2312" w:eastAsia="仿宋_GB2312"/>
              </w:rPr>
              <w:t>140,000.00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声速测量实验仪</w:t>
            </w:r>
          </w:p>
        </w:tc>
        <w:tc>
          <w:tcPr>
            <w:tcW w:type="dxa" w:w="2492"/>
          </w:tcPr>
          <w:p>
            <w:pPr>
              <w:pStyle w:val="null3"/>
              <w:jc w:val="left"/>
            </w:pPr>
            <w:r>
              <w:rPr>
                <w:rFonts w:ascii="仿宋_GB2312" w:hAnsi="仿宋_GB2312" w:cs="仿宋_GB2312" w:eastAsia="仿宋_GB2312"/>
              </w:rPr>
              <w:t>声速测量实验仪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声速测量实验仪</w:t>
            </w:r>
          </w:p>
        </w:tc>
        <w:tc>
          <w:tcPr>
            <w:tcW w:type="dxa" w:w="2492"/>
          </w:tcPr>
          <w:p>
            <w:pPr>
              <w:pStyle w:val="null3"/>
              <w:jc w:val="left"/>
            </w:pPr>
            <w:r>
              <w:rPr>
                <w:rFonts w:ascii="仿宋_GB2312" w:hAnsi="仿宋_GB2312" w:cs="仿宋_GB2312" w:eastAsia="仿宋_GB2312"/>
              </w:rPr>
              <w:t>声速测量实验仪中的“显示屏”</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标的名称：声速测量实验仪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声速测量实验仪</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采用了大功率超声波传感器进行信号的发射接收，仪器操作界面采用了引导式菜单，指导学生进行实验操作。同时提供了多种固体样品如尼龙和有机玻璃，在一次实验中可测量多介质声波速度，且样品规格易加工，方便用户进</w:t>
            </w:r>
            <w:r>
              <w:rPr>
                <w:rFonts w:ascii="仿宋_GB2312" w:hAnsi="仿宋_GB2312" w:cs="仿宋_GB2312" w:eastAsia="仿宋_GB2312"/>
                <w:sz w:val="21"/>
              </w:rPr>
              <w:t>行实验拓展。需要配备示波器。提供仿真预习软件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显示屏：</w:t>
            </w:r>
            <w:r>
              <w:rPr>
                <w:rFonts w:ascii="仿宋_GB2312" w:hAnsi="仿宋_GB2312" w:cs="仿宋_GB2312" w:eastAsia="仿宋_GB2312"/>
                <w:sz w:val="21"/>
              </w:rPr>
              <w:t>≥128×64带背光显示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正弦信号发生器：频率调节范围：</w:t>
            </w:r>
            <w:r>
              <w:rPr>
                <w:rFonts w:ascii="仿宋_GB2312" w:hAnsi="仿宋_GB2312" w:cs="仿宋_GB2312" w:eastAsia="仿宋_GB2312"/>
                <w:sz w:val="21"/>
              </w:rPr>
              <w:t>20000Hz-60000Hz，频率显示分辨率：≤1Hz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脉冲调制信号源：频率</w:t>
            </w:r>
            <w:r>
              <w:rPr>
                <w:rFonts w:ascii="仿宋_GB2312" w:hAnsi="仿宋_GB2312" w:cs="仿宋_GB2312" w:eastAsia="仿宋_GB2312"/>
                <w:sz w:val="21"/>
              </w:rPr>
              <w:t>20000Hz-60000Hz可调，脉冲宽度≤50μs，脉冲周期≤30ms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脉冲信号计时器：量程</w:t>
            </w:r>
            <w:r>
              <w:rPr>
                <w:rFonts w:ascii="仿宋_GB2312" w:hAnsi="仿宋_GB2312" w:cs="仿宋_GB2312" w:eastAsia="仿宋_GB2312"/>
                <w:sz w:val="21"/>
              </w:rPr>
              <w:t>0-9000μs，分辨率≤0.1μs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．超声波传感器：收发分体，振荡频率</w:t>
            </w:r>
            <w:r>
              <w:rPr>
                <w:rFonts w:ascii="仿宋_GB2312" w:hAnsi="仿宋_GB2312" w:cs="仿宋_GB2312" w:eastAsia="仿宋_GB2312"/>
                <w:sz w:val="21"/>
              </w:rPr>
              <w:t>≥</w:t>
            </w:r>
            <w:r>
              <w:rPr>
                <w:rFonts w:ascii="仿宋_GB2312" w:hAnsi="仿宋_GB2312" w:cs="仿宋_GB2312" w:eastAsia="仿宋_GB2312"/>
                <w:sz w:val="21"/>
              </w:rPr>
              <w:t>37.0KHz，功率小于15W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．超声波传感器尺寸：辐射头直径</w:t>
            </w:r>
            <w:r>
              <w:rPr>
                <w:rFonts w:ascii="仿宋_GB2312" w:hAnsi="仿宋_GB2312" w:cs="仿宋_GB2312" w:eastAsia="仿宋_GB2312"/>
                <w:sz w:val="21"/>
              </w:rPr>
              <w:t>≤4cm，压电陶瓷直径≤2cm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测量量程：双探头之间有效测试距离范围</w:t>
            </w:r>
            <w:r>
              <w:rPr>
                <w:rFonts w:ascii="仿宋_GB2312" w:hAnsi="仿宋_GB2312" w:cs="仿宋_GB2312" w:eastAsia="仿宋_GB2312"/>
                <w:sz w:val="21"/>
              </w:rPr>
              <w:t>≥0-330mm，数字式游标卡尺分辨率：</w:t>
            </w:r>
            <w:r>
              <w:rPr>
                <w:rFonts w:ascii="仿宋_GB2312" w:hAnsi="仿宋_GB2312" w:cs="仿宋_GB2312" w:eastAsia="仿宋_GB2312"/>
                <w:sz w:val="21"/>
              </w:rPr>
              <w:t>≤</w:t>
            </w:r>
            <w:r>
              <w:rPr>
                <w:rFonts w:ascii="仿宋_GB2312" w:hAnsi="仿宋_GB2312" w:cs="仿宋_GB2312" w:eastAsia="仿宋_GB2312"/>
                <w:sz w:val="21"/>
              </w:rPr>
              <w:t>0.01mm</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支架宽度</w:t>
            </w:r>
            <w:r>
              <w:rPr>
                <w:rFonts w:ascii="仿宋_GB2312" w:hAnsi="仿宋_GB2312" w:cs="仿宋_GB2312" w:eastAsia="仿宋_GB2312"/>
                <w:sz w:val="21"/>
              </w:rPr>
              <w:t>≥190mm，有效高度≥210mm，双不锈钢杆固定探头，防止移动中造成探头偏移，丝杆用于移动探头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★测量介质：液体、气体及固体(液体水槽尺寸350mm</w:t>
            </w:r>
            <w:r>
              <w:rPr>
                <w:rFonts w:ascii="仿宋_GB2312" w:hAnsi="仿宋_GB2312" w:cs="仿宋_GB2312" w:eastAsia="仿宋_GB2312"/>
                <w:sz w:val="21"/>
              </w:rPr>
              <w:t>-400mm</w:t>
            </w:r>
            <w:r>
              <w:rPr>
                <w:rFonts w:ascii="仿宋_GB2312" w:hAnsi="仿宋_GB2312" w:cs="仿宋_GB2312" w:eastAsia="仿宋_GB2312"/>
                <w:sz w:val="21"/>
              </w:rPr>
              <w:t>、固体装置样品</w:t>
            </w:r>
            <w:r>
              <w:rPr>
                <w:rFonts w:ascii="仿宋_GB2312" w:hAnsi="仿宋_GB2312" w:cs="仿宋_GB2312" w:eastAsia="仿宋_GB2312"/>
                <w:sz w:val="21"/>
              </w:rPr>
              <w:t>2套，长度分别为≥80mm、≥160mm）。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主机</w:t>
            </w:r>
            <w:r>
              <w:rPr>
                <w:rFonts w:ascii="仿宋_GB2312" w:hAnsi="仿宋_GB2312" w:cs="仿宋_GB2312" w:eastAsia="仿宋_GB2312"/>
                <w:sz w:val="21"/>
              </w:rPr>
              <w:t>配备</w:t>
            </w:r>
            <w:r>
              <w:rPr>
                <w:rFonts w:ascii="仿宋_GB2312" w:hAnsi="仿宋_GB2312" w:cs="仿宋_GB2312" w:eastAsia="仿宋_GB2312"/>
                <w:sz w:val="21"/>
              </w:rPr>
              <w:t>多功能程序，菜单中</w:t>
            </w:r>
            <w:r>
              <w:rPr>
                <w:rFonts w:ascii="仿宋_GB2312" w:hAnsi="仿宋_GB2312" w:cs="仿宋_GB2312" w:eastAsia="仿宋_GB2312"/>
                <w:sz w:val="21"/>
              </w:rPr>
              <w:t>可选择不同的介质下测量声速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至少</w:t>
            </w:r>
            <w:r>
              <w:rPr>
                <w:rFonts w:ascii="仿宋_GB2312" w:hAnsi="仿宋_GB2312" w:cs="仿宋_GB2312" w:eastAsia="仿宋_GB2312"/>
                <w:sz w:val="21"/>
              </w:rPr>
              <w:t>提供脉冲波和连续波两种输出方式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.接收信号发生器幅度放大倍数0-30倍</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.激励输出电压：最大输出电压 12V；输出功率</w:t>
            </w:r>
            <w:r>
              <w:rPr>
                <w:rFonts w:ascii="仿宋_GB2312" w:hAnsi="仿宋_GB2312" w:cs="仿宋_GB2312" w:eastAsia="仿宋_GB2312"/>
                <w:sz w:val="21"/>
              </w:rPr>
              <w:t>≥1W</w:t>
            </w:r>
            <w:r>
              <w:rPr>
                <w:rFonts w:ascii="仿宋_GB2312" w:hAnsi="仿宋_GB2312" w:cs="仿宋_GB2312" w:eastAsia="仿宋_GB2312"/>
                <w:sz w:val="21"/>
              </w:rPr>
              <w:t>，连续可调。</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.仿真预习软件：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主机控制面板与实物一比一复刻，显示声速测量参数。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幅度调节采用旋转模式，并提供接线示意图，提供介质选择界面</w:t>
            </w:r>
            <w:r>
              <w:rPr>
                <w:rFonts w:ascii="仿宋_GB2312" w:hAnsi="仿宋_GB2312" w:cs="仿宋_GB2312" w:eastAsia="仿宋_GB2312"/>
                <w:sz w:val="21"/>
              </w:rPr>
              <w:t>“空气”“水”等选项。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接收端移动范围</w:t>
            </w:r>
            <w:r>
              <w:rPr>
                <w:rFonts w:ascii="仿宋_GB2312" w:hAnsi="仿宋_GB2312" w:cs="仿宋_GB2312" w:eastAsia="仿宋_GB2312"/>
                <w:sz w:val="21"/>
              </w:rPr>
              <w:t>0-330mm，读数分辨率≤0.01mm，提供“左移”“右移”界面，也可鼠标直接拖动接收端。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电源开关，可同步关闭信号、示波器界面、主机屏幕显示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示波器模拟显示功能：显示发射信号与接收信号，可显示脉冲波信号与正玄波信号等。并可设置双通道与</w:t>
            </w:r>
            <w:r>
              <w:rPr>
                <w:rFonts w:ascii="仿宋_GB2312" w:hAnsi="仿宋_GB2312" w:cs="仿宋_GB2312" w:eastAsia="仿宋_GB2312"/>
                <w:sz w:val="21"/>
              </w:rPr>
              <w:t>“X-Y模式”两种模式。同步显示CH1\CH2两个信号。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数据采集与分析：提供列表式测量数据显示和计算结果分析，具备一键清空功能。计算间隔参数、平均</w:t>
            </w:r>
            <w:r>
              <w:rPr>
                <w:rFonts w:ascii="仿宋_GB2312" w:hAnsi="仿宋_GB2312" w:cs="仿宋_GB2312" w:eastAsia="仿宋_GB2312"/>
                <w:sz w:val="21"/>
              </w:rPr>
              <w:t>△L，删除单个数据等功能。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提供</w:t>
            </w:r>
            <w:r>
              <w:rPr>
                <w:rFonts w:ascii="仿宋_GB2312" w:hAnsi="仿宋_GB2312" w:cs="仿宋_GB2312" w:eastAsia="仿宋_GB2312"/>
                <w:sz w:val="21"/>
              </w:rPr>
              <w:t>“共振法”“相位法”“时差法”三种实验模式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提供数据导入导出功能和实时随机误差引入。</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示波器：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★带宽≥110MHz，模拟通道≥2路，</w:t>
            </w:r>
            <w:r>
              <w:rPr>
                <w:rFonts w:ascii="仿宋_GB2312" w:hAnsi="仿宋_GB2312" w:cs="仿宋_GB2312" w:eastAsia="仿宋_GB2312"/>
                <w:sz w:val="21"/>
              </w:rPr>
              <w:t>配备</w:t>
            </w:r>
            <w:r>
              <w:rPr>
                <w:rFonts w:ascii="仿宋_GB2312" w:hAnsi="仿宋_GB2312" w:cs="仿宋_GB2312" w:eastAsia="仿宋_GB2312"/>
                <w:sz w:val="21"/>
              </w:rPr>
              <w:t>数字通道测量接口，标配总线解码功能（</w:t>
            </w:r>
            <w:r>
              <w:rPr>
                <w:rFonts w:ascii="仿宋_GB2312" w:hAnsi="仿宋_GB2312" w:cs="仿宋_GB2312" w:eastAsia="仿宋_GB2312"/>
                <w:sz w:val="21"/>
              </w:rPr>
              <w:t>至少包含：</w:t>
            </w:r>
            <w:r>
              <w:rPr>
                <w:rFonts w:ascii="仿宋_GB2312" w:hAnsi="仿宋_GB2312" w:cs="仿宋_GB2312" w:eastAsia="仿宋_GB2312"/>
                <w:sz w:val="21"/>
              </w:rPr>
              <w:t>IIC，SPI，UART，LIN，CAN）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★实时采样率≥2GSa/s,</w:t>
            </w:r>
            <w:r>
              <w:rPr>
                <w:rFonts w:ascii="仿宋_GB2312" w:hAnsi="仿宋_GB2312" w:cs="仿宋_GB2312" w:eastAsia="仿宋_GB2312"/>
                <w:sz w:val="21"/>
              </w:rPr>
              <w:t>≥1</w:t>
            </w:r>
            <w:r>
              <w:rPr>
                <w:rFonts w:ascii="仿宋_GB2312" w:hAnsi="仿宋_GB2312" w:cs="仿宋_GB2312" w:eastAsia="仿宋_GB2312"/>
                <w:sz w:val="21"/>
              </w:rPr>
              <w:t>2bit全带宽垂直分辨率，</w:t>
            </w:r>
            <w:r>
              <w:rPr>
                <w:rFonts w:ascii="仿宋_GB2312" w:hAnsi="仿宋_GB2312" w:cs="仿宋_GB2312" w:eastAsia="仿宋_GB2312"/>
                <w:sz w:val="21"/>
              </w:rPr>
              <w:t>垂直灵敏度</w:t>
            </w:r>
            <w:r>
              <w:rPr>
                <w:rFonts w:ascii="仿宋_GB2312" w:hAnsi="仿宋_GB2312" w:cs="仿宋_GB2312" w:eastAsia="仿宋_GB2312"/>
                <w:sz w:val="21"/>
              </w:rPr>
              <w:t>≥</w:t>
            </w:r>
            <w:r>
              <w:rPr>
                <w:rFonts w:ascii="仿宋_GB2312" w:hAnsi="仿宋_GB2312" w:cs="仿宋_GB2312" w:eastAsia="仿宋_GB2312"/>
                <w:sz w:val="21"/>
              </w:rPr>
              <w:t>500uV/div，时基挡位</w:t>
            </w:r>
            <w:r>
              <w:rPr>
                <w:rFonts w:ascii="仿宋_GB2312" w:hAnsi="仿宋_GB2312" w:cs="仿宋_GB2312" w:eastAsia="仿宋_GB2312"/>
                <w:sz w:val="21"/>
              </w:rPr>
              <w:t>≥</w:t>
            </w:r>
            <w:r>
              <w:rPr>
                <w:rFonts w:ascii="仿宋_GB2312" w:hAnsi="仿宋_GB2312" w:cs="仿宋_GB2312" w:eastAsia="仿宋_GB2312"/>
                <w:sz w:val="21"/>
              </w:rPr>
              <w:t>1ns/div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3）显示屏</w:t>
            </w:r>
            <w:r>
              <w:rPr>
                <w:rFonts w:ascii="仿宋_GB2312" w:hAnsi="仿宋_GB2312" w:cs="仿宋_GB2312" w:eastAsia="仿宋_GB2312"/>
                <w:sz w:val="21"/>
              </w:rPr>
              <w:t>≥</w:t>
            </w:r>
            <w:r>
              <w:rPr>
                <w:rFonts w:ascii="仿宋_GB2312" w:hAnsi="仿宋_GB2312" w:cs="仿宋_GB2312" w:eastAsia="仿宋_GB2312"/>
                <w:sz w:val="21"/>
              </w:rPr>
              <w:t>7英寸（1024×600），支持色温显示，最大历史波形记录</w:t>
            </w:r>
            <w:r>
              <w:rPr>
                <w:rFonts w:ascii="仿宋_GB2312" w:hAnsi="仿宋_GB2312" w:cs="仿宋_GB2312" w:eastAsia="仿宋_GB2312"/>
                <w:sz w:val="21"/>
              </w:rPr>
              <w:t>≥</w:t>
            </w:r>
            <w:r>
              <w:rPr>
                <w:rFonts w:ascii="仿宋_GB2312" w:hAnsi="仿宋_GB2312" w:cs="仿宋_GB2312" w:eastAsia="仿宋_GB2312"/>
                <w:sz w:val="21"/>
              </w:rPr>
              <w:t>78,000帧历史波形，最高波形捕获率</w:t>
            </w:r>
            <w:r>
              <w:rPr>
                <w:rFonts w:ascii="仿宋_GB2312" w:hAnsi="仿宋_GB2312" w:cs="仿宋_GB2312" w:eastAsia="仿宋_GB2312"/>
                <w:sz w:val="21"/>
              </w:rPr>
              <w:t>≥</w:t>
            </w:r>
            <w:r>
              <w:rPr>
                <w:rFonts w:ascii="仿宋_GB2312" w:hAnsi="仿宋_GB2312" w:cs="仿宋_GB2312" w:eastAsia="仿宋_GB2312"/>
                <w:sz w:val="21"/>
              </w:rPr>
              <w:t>450000帧/秒，存储深度</w:t>
            </w:r>
            <w:r>
              <w:rPr>
                <w:rFonts w:ascii="仿宋_GB2312" w:hAnsi="仿宋_GB2312" w:cs="仿宋_GB2312" w:eastAsia="仿宋_GB2312"/>
                <w:sz w:val="21"/>
              </w:rPr>
              <w:t>≥</w:t>
            </w:r>
            <w:r>
              <w:rPr>
                <w:rFonts w:ascii="仿宋_GB2312" w:hAnsi="仿宋_GB2312" w:cs="仿宋_GB2312" w:eastAsia="仿宋_GB2312"/>
                <w:sz w:val="21"/>
              </w:rPr>
              <w:t>100Mpts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支持分段采集模式，可以将存储深度等分为</w:t>
            </w:r>
            <w:r>
              <w:rPr>
                <w:rFonts w:ascii="仿宋_GB2312" w:hAnsi="仿宋_GB2312" w:cs="仿宋_GB2312" w:eastAsia="仿宋_GB2312"/>
                <w:sz w:val="21"/>
              </w:rPr>
              <w:t>≥</w:t>
            </w:r>
            <w:r>
              <w:rPr>
                <w:rFonts w:ascii="仿宋_GB2312" w:hAnsi="仿宋_GB2312" w:cs="仿宋_GB2312" w:eastAsia="仿宋_GB2312"/>
                <w:sz w:val="21"/>
              </w:rPr>
              <w:t>80000段</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9种智能触发：</w:t>
            </w:r>
            <w:r>
              <w:rPr>
                <w:rFonts w:ascii="仿宋_GB2312" w:hAnsi="仿宋_GB2312" w:cs="仿宋_GB2312" w:eastAsia="仿宋_GB2312"/>
                <w:sz w:val="21"/>
              </w:rPr>
              <w:t>至少包含：</w:t>
            </w:r>
            <w:r>
              <w:rPr>
                <w:rFonts w:ascii="仿宋_GB2312" w:hAnsi="仿宋_GB2312" w:cs="仿宋_GB2312" w:eastAsia="仿宋_GB2312"/>
                <w:sz w:val="21"/>
              </w:rPr>
              <w:t>边沿、脉宽、斜率、窗口、欠幅、间隔、超时、码型、视频</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具备高分辨率</w:t>
            </w:r>
            <w:r>
              <w:rPr>
                <w:rFonts w:ascii="仿宋_GB2312" w:hAnsi="仿宋_GB2312" w:cs="仿宋_GB2312" w:eastAsia="仿宋_GB2312"/>
                <w:sz w:val="21"/>
              </w:rPr>
              <w:t>FFT频谱分析功能与可配置的数字滤波运算功能。其中，FFT分析在深存储条件下应能提供≥1M点的运算能力，并须支持多种窗函</w:t>
            </w:r>
            <w:r>
              <w:rPr>
                <w:rFonts w:ascii="仿宋_GB2312" w:hAnsi="仿宋_GB2312" w:cs="仿宋_GB2312" w:eastAsia="仿宋_GB2312"/>
                <w:sz w:val="21"/>
              </w:rPr>
              <w:t>数、平均值</w:t>
            </w:r>
            <w:r>
              <w:rPr>
                <w:rFonts w:ascii="仿宋_GB2312" w:hAnsi="仿宋_GB2312" w:cs="仿宋_GB2312" w:eastAsia="仿宋_GB2312"/>
                <w:sz w:val="21"/>
              </w:rPr>
              <w:t>/峰值保持模式及谐波测量；数字滤波器应包含低通、高通、带通、带阻等基本类型，且参数可设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配备一键快捷功能</w:t>
            </w:r>
            <w:r>
              <w:rPr>
                <w:rFonts w:ascii="仿宋_GB2312" w:hAnsi="仿宋_GB2312" w:cs="仿宋_GB2312" w:eastAsia="仿宋_GB2312"/>
                <w:sz w:val="21"/>
              </w:rPr>
              <w:t>，</w:t>
            </w:r>
            <w:r>
              <w:rPr>
                <w:rFonts w:ascii="仿宋_GB2312" w:hAnsi="仿宋_GB2312" w:cs="仿宋_GB2312" w:eastAsia="仿宋_GB2312"/>
                <w:sz w:val="21"/>
              </w:rPr>
              <w:t>至少包含：</w:t>
            </w:r>
            <w:r>
              <w:rPr>
                <w:rFonts w:ascii="仿宋_GB2312" w:hAnsi="仿宋_GB2312" w:cs="仿宋_GB2312" w:eastAsia="仿宋_GB2312"/>
                <w:sz w:val="21"/>
              </w:rPr>
              <w:t>滚动模式、历史波形回放、余辉显示、测量统计重置与一键打印</w:t>
            </w:r>
            <w:r>
              <w:rPr>
                <w:rFonts w:ascii="仿宋_GB2312" w:hAnsi="仿宋_GB2312" w:cs="仿宋_GB2312" w:eastAsia="仿宋_GB2312"/>
                <w:sz w:val="21"/>
              </w:rPr>
              <w:t>/截图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直流增益精度</w:t>
            </w:r>
            <w:r>
              <w:rPr>
                <w:rFonts w:ascii="仿宋_GB2312" w:hAnsi="仿宋_GB2312" w:cs="仿宋_GB2312" w:eastAsia="仿宋_GB2312"/>
                <w:sz w:val="21"/>
              </w:rPr>
              <w:t>5mV/div～10V/div：在5 mV/div至10 V/div的垂直档位范围内，直流增益精度为±0.5%</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9）具备高分辨率FFT频谱分析功能与可配置的数字滤波运算功能</w:t>
            </w:r>
            <w:r>
              <w:rPr>
                <w:rFonts w:ascii="仿宋_GB2312" w:hAnsi="仿宋_GB2312" w:cs="仿宋_GB2312" w:eastAsia="仿宋_GB2312"/>
                <w:sz w:val="21"/>
              </w:rPr>
              <w:t>，</w:t>
            </w:r>
            <w:r>
              <w:rPr>
                <w:rFonts w:ascii="仿宋_GB2312" w:hAnsi="仿宋_GB2312" w:cs="仿宋_GB2312" w:eastAsia="仿宋_GB2312"/>
                <w:sz w:val="21"/>
              </w:rPr>
              <w:t>至少包含：</w:t>
            </w:r>
            <w:r>
              <w:rPr>
                <w:rFonts w:ascii="仿宋_GB2312" w:hAnsi="仿宋_GB2312" w:cs="仿宋_GB2312" w:eastAsia="仿宋_GB2312"/>
                <w:sz w:val="21"/>
              </w:rPr>
              <w:t>FFT、加、减、乘、除、积分、微分、平方根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配备</w:t>
            </w:r>
            <w:r>
              <w:rPr>
                <w:rFonts w:ascii="仿宋_GB2312" w:hAnsi="仿宋_GB2312" w:cs="仿宋_GB2312" w:eastAsia="仿宋_GB2312"/>
                <w:sz w:val="21"/>
              </w:rPr>
              <w:t>测量统计</w:t>
            </w:r>
            <w:r>
              <w:rPr>
                <w:rFonts w:ascii="仿宋_GB2312" w:hAnsi="仿宋_GB2312" w:cs="仿宋_GB2312" w:eastAsia="仿宋_GB2312"/>
                <w:sz w:val="21"/>
              </w:rPr>
              <w:t>，至少</w:t>
            </w:r>
            <w:r>
              <w:rPr>
                <w:rFonts w:ascii="仿宋_GB2312" w:hAnsi="仿宋_GB2312" w:cs="仿宋_GB2312" w:eastAsia="仿宋_GB2312"/>
                <w:sz w:val="21"/>
              </w:rPr>
              <w:t>包含：</w:t>
            </w:r>
            <w:r>
              <w:rPr>
                <w:rFonts w:ascii="仿宋_GB2312" w:hAnsi="仿宋_GB2312" w:cs="仿宋_GB2312" w:eastAsia="仿宋_GB2312"/>
                <w:sz w:val="21"/>
              </w:rPr>
              <w:t>Math测量、History测量、Ref测量，半透明全参数测量窗口</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配备标准接口，至少包含</w:t>
            </w:r>
            <w:r>
              <w:rPr>
                <w:rFonts w:ascii="仿宋_GB2312" w:hAnsi="仿宋_GB2312" w:cs="仿宋_GB2312" w:eastAsia="仿宋_GB2312"/>
                <w:sz w:val="21"/>
              </w:rPr>
              <w:t>：</w:t>
            </w:r>
            <w:r>
              <w:rPr>
                <w:rFonts w:ascii="仿宋_GB2312" w:hAnsi="仿宋_GB2312" w:cs="仿宋_GB2312" w:eastAsia="仿宋_GB2312"/>
                <w:sz w:val="21"/>
              </w:rPr>
              <w:t>USB2.0×2、USB</w:t>
            </w:r>
            <w:r>
              <w:rPr>
                <w:rFonts w:ascii="仿宋_GB2312" w:hAnsi="仿宋_GB2312" w:cs="仿宋_GB2312" w:eastAsia="仿宋_GB2312"/>
                <w:sz w:val="21"/>
              </w:rPr>
              <w:t>（</w:t>
            </w:r>
            <w:r>
              <w:rPr>
                <w:rFonts w:ascii="仿宋_GB2312" w:hAnsi="仿宋_GB2312" w:cs="仿宋_GB2312" w:eastAsia="仿宋_GB2312"/>
                <w:sz w:val="21"/>
              </w:rPr>
              <w:t>Device）×</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LAN接口×</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SBUS接口×</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参数自动测量</w:t>
            </w:r>
            <w:r>
              <w:rPr>
                <w:rFonts w:ascii="仿宋_GB2312" w:hAnsi="仿宋_GB2312" w:cs="仿宋_GB2312" w:eastAsia="仿宋_GB2312"/>
                <w:sz w:val="21"/>
              </w:rPr>
              <w:t>≥50钟，</w:t>
            </w:r>
            <w:r>
              <w:rPr>
                <w:rFonts w:ascii="仿宋_GB2312" w:hAnsi="仿宋_GB2312" w:cs="仿宋_GB2312" w:eastAsia="仿宋_GB2312"/>
                <w:sz w:val="21"/>
              </w:rPr>
              <w:t>至少配备</w:t>
            </w:r>
            <w:r>
              <w:rPr>
                <w:rFonts w:ascii="仿宋_GB2312" w:hAnsi="仿宋_GB2312" w:cs="仿宋_GB2312" w:eastAsia="仿宋_GB2312"/>
                <w:sz w:val="21"/>
              </w:rPr>
              <w:t>直方图、趋势图、轨迹图统计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有效位数</w:t>
            </w:r>
            <w:r>
              <w:rPr>
                <w:rFonts w:ascii="仿宋_GB2312" w:hAnsi="仿宋_GB2312" w:cs="仿宋_GB2312" w:eastAsia="仿宋_GB2312"/>
                <w:sz w:val="21"/>
              </w:rPr>
              <w:t>ENOB（典型值）≥8.4bit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支持外接鼠标和键盘操作；</w:t>
            </w:r>
            <w:r>
              <w:rPr>
                <w:rFonts w:ascii="仿宋_GB2312" w:hAnsi="仿宋_GB2312" w:cs="仿宋_GB2312" w:eastAsia="仿宋_GB2312"/>
                <w:sz w:val="21"/>
              </w:rPr>
              <w:t>应支持通过</w:t>
            </w:r>
            <w:r>
              <w:rPr>
                <w:rFonts w:ascii="仿宋_GB2312" w:hAnsi="仿宋_GB2312" w:cs="仿宋_GB2312" w:eastAsia="仿宋_GB2312"/>
                <w:sz w:val="21"/>
              </w:rPr>
              <w:t>USB接口连接键鼠进行操作，并具备网络远</w:t>
            </w:r>
            <w:r>
              <w:rPr>
                <w:rFonts w:ascii="仿宋_GB2312" w:hAnsi="仿宋_GB2312" w:cs="仿宋_GB2312" w:eastAsia="仿宋_GB2312"/>
                <w:sz w:val="21"/>
              </w:rPr>
              <w:t>程控制功能；</w:t>
            </w:r>
            <w:r>
              <w:rPr>
                <w:rFonts w:ascii="仿宋_GB2312" w:hAnsi="仿宋_GB2312" w:cs="仿宋_GB2312" w:eastAsia="仿宋_GB2312"/>
                <w:sz w:val="21"/>
              </w:rPr>
              <w:t>支持通过网页控制仪器</w:t>
            </w: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★（1）报价要求：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①本项目采用固定总价定价方式。本项目所有运输、保险、装卸、安装(包含辅材、设施设备、安装等相关辅助工作)、调试、培训、税费等一切相关费用均包含在投标报价中，采购人不再承担除中标（成交）价外的任何费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供货要求：投标人应具有详细的供货流程，并按照招标文件约定的交货地点，同时制定切实可行的运输、搬运的方式、方法及流程，供货、运输、搬运等所需的时间应保障能在约定时间内完成供货、运输、到货验收等工作。投标人应按照制定的供货计划进行产品的供货，并且在运输、搬运过程中保障产品不会造成损坏。若供货过程中，采购人有临时的供货需求调整，投标人应积极配合采购人，并按照调整后的供货要求进行产品供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进度计划要求：投标人应制定项目进度计划，计划编制合理，明确本项目可能涉及的前期准备、到货验收、安装、验收交付等阶段的计划开始时间和计划结束时间，并具有切实可行的进度监控和调整优化措施。保证本项目能在采购人要求的时间内完成，并通过验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4）安全要求：</w:t>
            </w:r>
          </w:p>
          <w:p>
            <w:pPr>
              <w:pStyle w:val="null3"/>
              <w:ind w:firstLine="420"/>
              <w:jc w:val="left"/>
            </w:pPr>
            <w:r>
              <w:rPr>
                <w:rFonts w:ascii="仿宋_GB2312" w:hAnsi="仿宋_GB2312" w:cs="仿宋_GB2312" w:eastAsia="仿宋_GB2312"/>
                <w:sz w:val="21"/>
              </w:rPr>
              <w:t>1)投标人应制定安全管理相关制度与措施，在本项目实施过程中，应做到人员、机械、产品等全面的安全保障，有明确的安全管理制度、安全应急预案，安全管理工作应具有层级管理。同时，应具备切实可行的安全管理体系，以避免本项目实施过程中出现可能存在的安全问题。所使用的安全防护工具符合国家标准，以保障项目安全完成。</w:t>
            </w:r>
          </w:p>
          <w:p>
            <w:pPr>
              <w:pStyle w:val="null3"/>
              <w:ind w:firstLine="420"/>
              <w:jc w:val="left"/>
            </w:pPr>
            <w:r>
              <w:rPr>
                <w:rFonts w:ascii="仿宋_GB2312" w:hAnsi="仿宋_GB2312" w:cs="仿宋_GB2312" w:eastAsia="仿宋_GB2312"/>
                <w:sz w:val="21"/>
              </w:rPr>
              <w:t>★2）本项目履行期限及质保期内安全保障和责任全部由中标人自行承担。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5）安装调试要求：</w:t>
            </w:r>
          </w:p>
          <w:p>
            <w:pPr>
              <w:pStyle w:val="null3"/>
              <w:ind w:firstLine="420"/>
              <w:jc w:val="left"/>
            </w:pPr>
            <w:r>
              <w:rPr>
                <w:rFonts w:ascii="仿宋_GB2312" w:hAnsi="仿宋_GB2312" w:cs="仿宋_GB2312" w:eastAsia="仿宋_GB2312"/>
                <w:sz w:val="21"/>
              </w:rPr>
              <w:t>①投标人编制有详尽的安装调试工作流程及重难点把控，安装调试质量把控，对于重难点环节应制定专项安装调试质量把控流程，明确安装调试质量标准和人员职责划分，安装调试结果应满足国家和行业相关标准，实现最终投入使用的设备运行情况满足采购人需求。</w:t>
            </w:r>
          </w:p>
          <w:p>
            <w:pPr>
              <w:pStyle w:val="null3"/>
              <w:ind w:firstLine="420"/>
              <w:jc w:val="left"/>
            </w:pPr>
            <w:r>
              <w:rPr>
                <w:rFonts w:ascii="仿宋_GB2312" w:hAnsi="仿宋_GB2312" w:cs="仿宋_GB2312" w:eastAsia="仿宋_GB2312"/>
                <w:sz w:val="21"/>
              </w:rPr>
              <w:t>②安装前准备阶段</w:t>
            </w:r>
          </w:p>
          <w:p>
            <w:pPr>
              <w:pStyle w:val="null3"/>
              <w:ind w:firstLine="420"/>
              <w:jc w:val="left"/>
            </w:pPr>
            <w:r>
              <w:rPr>
                <w:rFonts w:ascii="仿宋_GB2312" w:hAnsi="仿宋_GB2312" w:cs="仿宋_GB2312" w:eastAsia="仿宋_GB2312"/>
                <w:sz w:val="21"/>
              </w:rPr>
              <w:t>A.在产品到货前，服务团队应及时与采购人沟通，确认安装现场的具体情况，包括设备摆放位置的空间布局等，确保现场满足产品安装和正常使用的条件。</w:t>
            </w:r>
          </w:p>
          <w:p>
            <w:pPr>
              <w:pStyle w:val="null3"/>
              <w:ind w:firstLine="420"/>
              <w:jc w:val="left"/>
            </w:pPr>
            <w:r>
              <w:rPr>
                <w:rFonts w:ascii="仿宋_GB2312" w:hAnsi="仿宋_GB2312" w:cs="仿宋_GB2312" w:eastAsia="仿宋_GB2312"/>
                <w:sz w:val="21"/>
              </w:rPr>
              <w:t>B.协助采购人制定详细的安装现场准备清单及时间计划，指导采购人完成现场环境的整改和完善。</w:t>
            </w:r>
          </w:p>
          <w:p>
            <w:pPr>
              <w:pStyle w:val="null3"/>
              <w:ind w:firstLine="420"/>
              <w:jc w:val="left"/>
            </w:pPr>
            <w:r>
              <w:rPr>
                <w:rFonts w:ascii="仿宋_GB2312" w:hAnsi="仿宋_GB2312" w:cs="仿宋_GB2312" w:eastAsia="仿宋_GB2312"/>
                <w:sz w:val="21"/>
              </w:rPr>
              <w:t>C.针对特殊环境，提供相关技术指导和预防措施建议，防止安装过程中出现环境适应性问题。</w:t>
            </w:r>
          </w:p>
          <w:p>
            <w:pPr>
              <w:pStyle w:val="null3"/>
              <w:ind w:firstLine="420"/>
              <w:jc w:val="left"/>
            </w:pPr>
            <w:r>
              <w:rPr>
                <w:rFonts w:ascii="仿宋_GB2312" w:hAnsi="仿宋_GB2312" w:cs="仿宋_GB2312" w:eastAsia="仿宋_GB2312"/>
                <w:sz w:val="21"/>
              </w:rPr>
              <w:t>③安装实施阶段</w:t>
            </w:r>
          </w:p>
          <w:p>
            <w:pPr>
              <w:pStyle w:val="null3"/>
              <w:ind w:firstLine="420"/>
              <w:jc w:val="left"/>
            </w:pPr>
            <w:r>
              <w:rPr>
                <w:rFonts w:ascii="仿宋_GB2312" w:hAnsi="仿宋_GB2312" w:cs="仿宋_GB2312" w:eastAsia="仿宋_GB2312"/>
                <w:sz w:val="21"/>
              </w:rPr>
              <w:t>A.组织由专业且经验丰富的安装工程师组成的团队，根据产品特点和安装规范，开展科学有序的安装工作。</w:t>
            </w:r>
          </w:p>
          <w:p>
            <w:pPr>
              <w:pStyle w:val="null3"/>
              <w:ind w:firstLine="420"/>
              <w:jc w:val="left"/>
            </w:pPr>
            <w:r>
              <w:rPr>
                <w:rFonts w:ascii="仿宋_GB2312" w:hAnsi="仿宋_GB2312" w:cs="仿宋_GB2312" w:eastAsia="仿宋_GB2312"/>
                <w:sz w:val="21"/>
              </w:rPr>
              <w:t>B.按照产品制造商提供的安装手册和技术标准，进行设备拆箱、定位固定等关键步骤，确保安装过程符合安全规范和质量要求。</w:t>
            </w:r>
          </w:p>
          <w:p>
            <w:pPr>
              <w:pStyle w:val="null3"/>
              <w:ind w:firstLine="420"/>
              <w:jc w:val="left"/>
            </w:pPr>
            <w:r>
              <w:rPr>
                <w:rFonts w:ascii="仿宋_GB2312" w:hAnsi="仿宋_GB2312" w:cs="仿宋_GB2312" w:eastAsia="仿宋_GB2312"/>
                <w:sz w:val="21"/>
              </w:rPr>
              <w:t>C.实时记录安装过程中的关键数据和异常情况，及时与采购人沟通处理。</w:t>
            </w:r>
          </w:p>
          <w:p>
            <w:pPr>
              <w:pStyle w:val="null3"/>
              <w:ind w:firstLine="420"/>
              <w:jc w:val="left"/>
            </w:pPr>
            <w:r>
              <w:rPr>
                <w:rFonts w:ascii="仿宋_GB2312" w:hAnsi="仿宋_GB2312" w:cs="仿宋_GB2312" w:eastAsia="仿宋_GB2312"/>
                <w:sz w:val="21"/>
              </w:rPr>
              <w:t>D.制定安装现场安全管理措施，保障人员和设备安全。</w:t>
            </w:r>
          </w:p>
          <w:p>
            <w:pPr>
              <w:pStyle w:val="null3"/>
              <w:ind w:firstLine="420"/>
              <w:jc w:val="left"/>
            </w:pPr>
            <w:r>
              <w:rPr>
                <w:rFonts w:ascii="仿宋_GB2312" w:hAnsi="仿宋_GB2312" w:cs="仿宋_GB2312" w:eastAsia="仿宋_GB2312"/>
                <w:sz w:val="21"/>
              </w:rPr>
              <w:t>④调试阶段</w:t>
            </w:r>
          </w:p>
          <w:p>
            <w:pPr>
              <w:pStyle w:val="null3"/>
              <w:ind w:firstLine="420"/>
              <w:jc w:val="left"/>
            </w:pPr>
            <w:r>
              <w:rPr>
                <w:rFonts w:ascii="仿宋_GB2312" w:hAnsi="仿宋_GB2312" w:cs="仿宋_GB2312" w:eastAsia="仿宋_GB2312"/>
                <w:sz w:val="21"/>
              </w:rPr>
              <w:t>A.安装完成后，开展产品的全面调试，包括但不限于外观检查、正常使用性能检测等，确保设备达到招标文件的技术指标及合同要求。</w:t>
            </w:r>
          </w:p>
          <w:p>
            <w:pPr>
              <w:pStyle w:val="null3"/>
              <w:ind w:firstLine="420"/>
              <w:jc w:val="left"/>
            </w:pPr>
            <w:r>
              <w:rPr>
                <w:rFonts w:ascii="仿宋_GB2312" w:hAnsi="仿宋_GB2312" w:cs="仿宋_GB2312" w:eastAsia="仿宋_GB2312"/>
                <w:sz w:val="21"/>
              </w:rPr>
              <w:t>B.协助采购人进行产品使用的现场演示，解答采购人员及操作人员的技术疑问。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6）培训要求：</w:t>
            </w:r>
          </w:p>
          <w:p>
            <w:pPr>
              <w:pStyle w:val="null3"/>
              <w:ind w:firstLine="420"/>
              <w:jc w:val="left"/>
            </w:pPr>
            <w:r>
              <w:rPr>
                <w:rFonts w:ascii="仿宋_GB2312" w:hAnsi="仿宋_GB2312" w:cs="仿宋_GB2312" w:eastAsia="仿宋_GB2312"/>
                <w:sz w:val="21"/>
              </w:rPr>
              <w:t>①投标人应组织对采购人拟派的人员进行培训，培训内容应具有针对性和实用性，至少应包含以下内容，必要时可结合实际增加专项培训模块：产品基本结构与组成模块解析、产品操作方法及操作注意事项、产品常见故障及应急处理方法、产品日常维护与保养方法。</w:t>
            </w:r>
          </w:p>
          <w:p>
            <w:pPr>
              <w:pStyle w:val="null3"/>
              <w:ind w:firstLine="420"/>
              <w:jc w:val="left"/>
            </w:pPr>
            <w:r>
              <w:rPr>
                <w:rFonts w:ascii="仿宋_GB2312" w:hAnsi="仿宋_GB2312" w:cs="仿宋_GB2312" w:eastAsia="仿宋_GB2312"/>
                <w:sz w:val="21"/>
              </w:rPr>
              <w:t>②培训方式与安排</w:t>
            </w:r>
          </w:p>
          <w:p>
            <w:pPr>
              <w:pStyle w:val="null3"/>
              <w:ind w:firstLine="420"/>
              <w:jc w:val="left"/>
            </w:pPr>
            <w:r>
              <w:rPr>
                <w:rFonts w:ascii="仿宋_GB2312" w:hAnsi="仿宋_GB2312" w:cs="仿宋_GB2312" w:eastAsia="仿宋_GB2312"/>
                <w:sz w:val="21"/>
              </w:rPr>
              <w:t>A.培训采用现场培训，培训地点应设在产品安装现场或采购人指定区域。</w:t>
            </w:r>
          </w:p>
          <w:p>
            <w:pPr>
              <w:pStyle w:val="null3"/>
              <w:ind w:firstLine="420"/>
              <w:jc w:val="left"/>
            </w:pPr>
            <w:r>
              <w:rPr>
                <w:rFonts w:ascii="仿宋_GB2312" w:hAnsi="仿宋_GB2312" w:cs="仿宋_GB2312" w:eastAsia="仿宋_GB2312"/>
                <w:sz w:val="21"/>
              </w:rPr>
              <w:t>B.培训应采用理论讲解+实操演示+现场答疑的方式进行。</w:t>
            </w:r>
          </w:p>
          <w:p>
            <w:pPr>
              <w:pStyle w:val="null3"/>
              <w:ind w:firstLine="420"/>
              <w:jc w:val="left"/>
            </w:pPr>
            <w:r>
              <w:rPr>
                <w:rFonts w:ascii="仿宋_GB2312" w:hAnsi="仿宋_GB2312" w:cs="仿宋_GB2312" w:eastAsia="仿宋_GB2312"/>
                <w:sz w:val="21"/>
              </w:rPr>
              <w:t>C.提供培训签到表、培训记录表、照片记录和满意度反馈表，作为验收依据。</w:t>
            </w:r>
          </w:p>
          <w:p>
            <w:pPr>
              <w:pStyle w:val="null3"/>
              <w:ind w:firstLine="420"/>
              <w:jc w:val="left"/>
            </w:pPr>
            <w:r>
              <w:rPr>
                <w:rFonts w:ascii="仿宋_GB2312" w:hAnsi="仿宋_GB2312" w:cs="仿宋_GB2312" w:eastAsia="仿宋_GB2312"/>
                <w:sz w:val="21"/>
              </w:rPr>
              <w:t>③培训资料要求：提供完整、系统、结构化的培训资料包，包含但不限于：《产品操作指南》（纸质+电子版）、《日常维护手册》（纸质+电子版）、《常见故障快速处理手册》、《安装示意图、结构图》、培训PPT课件与授课视频文件。</w:t>
            </w:r>
          </w:p>
          <w:p>
            <w:pPr>
              <w:pStyle w:val="null3"/>
              <w:ind w:firstLine="420"/>
              <w:jc w:val="left"/>
            </w:pPr>
            <w:r>
              <w:rPr>
                <w:rFonts w:ascii="仿宋_GB2312" w:hAnsi="仿宋_GB2312" w:cs="仿宋_GB2312" w:eastAsia="仿宋_GB2312"/>
                <w:sz w:val="21"/>
              </w:rPr>
              <w:t>④持续培训与回访</w:t>
            </w:r>
          </w:p>
          <w:p>
            <w:pPr>
              <w:pStyle w:val="null3"/>
              <w:ind w:firstLine="420"/>
              <w:jc w:val="left"/>
            </w:pPr>
            <w:r>
              <w:rPr>
                <w:rFonts w:ascii="仿宋_GB2312" w:hAnsi="仿宋_GB2312" w:cs="仿宋_GB2312" w:eastAsia="仿宋_GB2312"/>
                <w:sz w:val="21"/>
              </w:rPr>
              <w:t>A.项目完成验收后12个月内，应定期进行回访，对操作难点、实际使用中遇到的问题进行集中答疑。</w:t>
            </w:r>
          </w:p>
          <w:p>
            <w:pPr>
              <w:pStyle w:val="null3"/>
              <w:ind w:firstLine="420"/>
              <w:jc w:val="left"/>
            </w:pPr>
            <w:r>
              <w:rPr>
                <w:rFonts w:ascii="仿宋_GB2312" w:hAnsi="仿宋_GB2312" w:cs="仿宋_GB2312" w:eastAsia="仿宋_GB2312"/>
                <w:sz w:val="21"/>
              </w:rPr>
              <w:t>B.若采购人更换操作人员或扩大使用范围，投标人应在接到书面通知后7日内提供补充培训服务。</w:t>
            </w:r>
          </w:p>
          <w:p>
            <w:pPr>
              <w:pStyle w:val="null3"/>
              <w:ind w:firstLine="420"/>
              <w:jc w:val="left"/>
            </w:pPr>
            <w:r>
              <w:rPr>
                <w:rFonts w:ascii="仿宋_GB2312" w:hAnsi="仿宋_GB2312" w:cs="仿宋_GB2312" w:eastAsia="仿宋_GB2312"/>
                <w:sz w:val="21"/>
              </w:rPr>
              <w:t>⑤培训考核</w:t>
            </w:r>
          </w:p>
          <w:p>
            <w:pPr>
              <w:pStyle w:val="null3"/>
              <w:ind w:firstLine="420"/>
              <w:jc w:val="left"/>
            </w:pPr>
            <w:r>
              <w:rPr>
                <w:rFonts w:ascii="仿宋_GB2312" w:hAnsi="仿宋_GB2312" w:cs="仿宋_GB2312" w:eastAsia="仿宋_GB2312"/>
                <w:sz w:val="21"/>
              </w:rPr>
              <w:t>A.投标人应在完成全部培训内容后组织现场考核，确保采购人使用人员真正掌握设备操作技能和基本维护方法，考核标准由投标人结合培训内容及设备特点制定，考核内容包括：</w:t>
            </w:r>
          </w:p>
          <w:p>
            <w:pPr>
              <w:pStyle w:val="null3"/>
              <w:ind w:firstLine="420"/>
              <w:jc w:val="left"/>
            </w:pPr>
            <w:r>
              <w:rPr>
                <w:rFonts w:ascii="仿宋_GB2312" w:hAnsi="仿宋_GB2312" w:cs="仿宋_GB2312" w:eastAsia="仿宋_GB2312"/>
                <w:sz w:val="21"/>
              </w:rPr>
              <w:t>a.理论知识：涵盖设备结构、操作步骤、安全使用规范、常见故障处理等；</w:t>
            </w:r>
          </w:p>
          <w:p>
            <w:pPr>
              <w:pStyle w:val="null3"/>
              <w:ind w:firstLine="420"/>
              <w:jc w:val="left"/>
            </w:pPr>
            <w:r>
              <w:rPr>
                <w:rFonts w:ascii="仿宋_GB2312" w:hAnsi="仿宋_GB2312" w:cs="仿宋_GB2312" w:eastAsia="仿宋_GB2312"/>
                <w:sz w:val="21"/>
              </w:rPr>
              <w:t>b.实际操作：重点考察受训人员对设备日常使用、故障判断及基本维护操作的熟练度。</w:t>
            </w:r>
          </w:p>
          <w:p>
            <w:pPr>
              <w:pStyle w:val="null3"/>
              <w:ind w:firstLine="420"/>
              <w:jc w:val="left"/>
            </w:pPr>
            <w:r>
              <w:rPr>
                <w:rFonts w:ascii="仿宋_GB2312" w:hAnsi="仿宋_GB2312" w:cs="仿宋_GB2312" w:eastAsia="仿宋_GB2312"/>
                <w:sz w:val="21"/>
              </w:rPr>
              <w:t>B.培训考核应留存签到记录、考核结果和影像资料，作为验收的重要依据。对未通过考核的人员，投标人应安排补训，直至考核合格。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7）应急要求：</w:t>
            </w:r>
          </w:p>
          <w:p>
            <w:pPr>
              <w:pStyle w:val="null3"/>
              <w:ind w:firstLine="420"/>
              <w:jc w:val="left"/>
            </w:pPr>
            <w:r>
              <w:rPr>
                <w:rFonts w:ascii="仿宋_GB2312" w:hAnsi="仿宋_GB2312" w:cs="仿宋_GB2312" w:eastAsia="仿宋_GB2312"/>
                <w:sz w:val="21"/>
              </w:rPr>
              <w:t>A.应建立“三级响应机制”，涵盖一般性故障、严重故障和重大紧急事件的分级应对模式，配套不同响应级别的预案措施、人员资源和决策机制。每类事件需明确相应的技术处置流程、联络机制和责任人，做到分类响应、快速联动。</w:t>
            </w:r>
          </w:p>
          <w:p>
            <w:pPr>
              <w:pStyle w:val="null3"/>
              <w:ind w:firstLine="420"/>
              <w:jc w:val="left"/>
            </w:pPr>
            <w:r>
              <w:rPr>
                <w:rFonts w:ascii="仿宋_GB2312" w:hAnsi="仿宋_GB2312" w:cs="仿宋_GB2312" w:eastAsia="仿宋_GB2312"/>
                <w:sz w:val="21"/>
              </w:rPr>
              <w:t>B.需提供7×24小时全天候售后服务热线，并设立固定技术服务联络人和备选联系人，确保采购人任意时间均可快速取得技术支持。服务联络人须具备服务经验，并熟悉本项目相关产品性能。</w:t>
            </w:r>
          </w:p>
          <w:p>
            <w:pPr>
              <w:pStyle w:val="null3"/>
              <w:ind w:firstLine="420"/>
              <w:jc w:val="left"/>
            </w:pPr>
            <w:r>
              <w:rPr>
                <w:rFonts w:ascii="仿宋_GB2312" w:hAnsi="仿宋_GB2312" w:cs="仿宋_GB2312" w:eastAsia="仿宋_GB2312"/>
                <w:sz w:val="21"/>
              </w:rPr>
              <w:t>C.应急预案机制应覆盖但不限于以下突发事件类型：关键部件损坏、遇突发事件需现场产品重新部署、灾害天气或不可抗力导致设备功能瘫痪。</w:t>
            </w:r>
          </w:p>
          <w:p>
            <w:pPr>
              <w:pStyle w:val="null3"/>
              <w:jc w:val="left"/>
            </w:pPr>
            <w:r>
              <w:rPr>
                <w:rFonts w:ascii="仿宋_GB2312" w:hAnsi="仿宋_GB2312" w:cs="仿宋_GB2312" w:eastAsia="仿宋_GB2312"/>
                <w:sz w:val="21"/>
              </w:rPr>
              <w:t>对于上述情形，投标人应制定涵盖</w:t>
            </w:r>
            <w:r>
              <w:rPr>
                <w:rFonts w:ascii="仿宋_GB2312" w:hAnsi="仿宋_GB2312" w:cs="仿宋_GB2312" w:eastAsia="仿宋_GB2312"/>
                <w:sz w:val="21"/>
              </w:rPr>
              <w:t>“诊断—分级—决策—派单—反馈—复盘”的全流程应急处置体系，确保每一起事件均有记录、有方案、有闭环。供应商应配备包括工程师、售后服务人员、技术支持人员在内的完整应急支持团队。</w:t>
            </w:r>
          </w:p>
          <w:p>
            <w:pPr>
              <w:pStyle w:val="null3"/>
              <w:ind w:firstLine="420"/>
              <w:jc w:val="left"/>
            </w:pPr>
            <w:r>
              <w:rPr>
                <w:rFonts w:ascii="仿宋_GB2312" w:hAnsi="仿宋_GB2312" w:cs="仿宋_GB2312" w:eastAsia="仿宋_GB2312"/>
                <w:sz w:val="21"/>
              </w:rPr>
              <w:t>D.所有应急事件的处理过程应与采购人保持信息同步，包括响应时间、现场处置进度、最终结果和善后措施，形成书面记录并归档备查。重大故障应在事件处理完成后5个工作日内提供完整的应急处置报告，包括问题溯源、责任分析、改进建议和再次发生的预防措施等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8）质量要求：</w:t>
            </w:r>
          </w:p>
          <w:p>
            <w:pPr>
              <w:pStyle w:val="null3"/>
              <w:ind w:firstLine="420"/>
              <w:jc w:val="left"/>
            </w:pPr>
            <w:r>
              <w:rPr>
                <w:rFonts w:ascii="仿宋_GB2312" w:hAnsi="仿宋_GB2312" w:cs="仿宋_GB2312" w:eastAsia="仿宋_GB2312"/>
                <w:sz w:val="21"/>
              </w:rPr>
              <w:t>★①投标人所提供产品均为生产厂家原装全新合格产品，投标人不得以次充好，产品来源渠道必须合法，产品质量和安装质量必须符合国家和行业标准。提供的货物，密封包装不得拆开。若开箱检验中发现有诸如数量、型号和外观尺寸与合同不符，或密封包装物本身的短少和损坏，如产生更换或补货等情形并导致工期延误，采购人有权根据合同有关条款的规定对因此造成的直接或间接损失向投标人索赔。</w:t>
            </w:r>
            <w:r>
              <w:br/>
            </w:r>
            <w:r>
              <w:rPr>
                <w:rFonts w:ascii="仿宋_GB2312" w:hAnsi="仿宋_GB2312" w:cs="仿宋_GB2312" w:eastAsia="仿宋_GB2312"/>
                <w:sz w:val="21"/>
              </w:rPr>
              <w:t xml:space="preserve">    </w:t>
            </w:r>
            <w:r>
              <w:rPr>
                <w:rFonts w:ascii="仿宋_GB2312" w:hAnsi="仿宋_GB2312" w:cs="仿宋_GB2312" w:eastAsia="仿宋_GB2312"/>
                <w:sz w:val="21"/>
              </w:rPr>
              <w:t>②投标人应制定有明确的质量管理制度及措施，质量管理工作应具有层级管理及质量应急响应制度。同时，应具备切实可行的质量管理体系，以避免本项目实施过程中出现可能存在的质量问题。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9）售后服务管理要求：</w:t>
            </w:r>
          </w:p>
          <w:p>
            <w:pPr>
              <w:pStyle w:val="null3"/>
              <w:ind w:firstLine="420"/>
              <w:jc w:val="left"/>
            </w:pPr>
            <w:r>
              <w:rPr>
                <w:rFonts w:ascii="仿宋_GB2312" w:hAnsi="仿宋_GB2312" w:cs="仿宋_GB2312" w:eastAsia="仿宋_GB2312"/>
                <w:sz w:val="21"/>
              </w:rPr>
              <w:t>★①投标人应提供投入本项目的售后服务人员名单信息和售后服务电话，中标后及时交采购人备案，且不得随意更换售后服务人员，若中标人确实需要更换售后服务人员，应提前5个工作日向采购人书面报告，经采购人同意后，方可更换。</w:t>
            </w:r>
          </w:p>
          <w:p>
            <w:pPr>
              <w:pStyle w:val="null3"/>
              <w:ind w:firstLine="420"/>
              <w:jc w:val="left"/>
            </w:pPr>
            <w:r>
              <w:rPr>
                <w:rFonts w:ascii="仿宋_GB2312" w:hAnsi="仿宋_GB2312" w:cs="仿宋_GB2312" w:eastAsia="仿宋_GB2312"/>
                <w:sz w:val="21"/>
              </w:rPr>
              <w:t>②投标人应明确划分售后服务人员岗位职责，将项目可能涉及的所有工作划分落实到具体岗位，制定健全的售后服务人员管理制度、团队互相协调、沟通等机制，确保项目按计划进行并达到预期目标。</w:t>
            </w:r>
          </w:p>
          <w:p>
            <w:pPr>
              <w:pStyle w:val="null3"/>
              <w:ind w:firstLine="420"/>
              <w:jc w:val="left"/>
            </w:pPr>
            <w:r>
              <w:rPr>
                <w:rFonts w:ascii="仿宋_GB2312" w:hAnsi="仿宋_GB2312" w:cs="仿宋_GB2312" w:eastAsia="仿宋_GB2312"/>
                <w:sz w:val="21"/>
              </w:rPr>
              <w:t>③日常维护要求：★A.在质保期内，中标人按采购人要求派专业技术人员对该设备巡检维护，并将巡检维护记录反馈至采购人使用部门。（单独提供承诺函）。B.日常维护内容应包括但不限于产品外观检查、状态检测、易损部件状态评估等。维护工作应由专业技术人员执行，确保操作规范、安全有效。 C.中标人应在每次维护前提前通知采购人并协调工作时间，维护过程中应避免影响采购人正常使用。D.如在维护过程中发现产品存在异常、故障隐患或使用不当行为，中标人应及时向采购人报告，并提出处理建议或应急处置措施，必要时协助采购人制定整改计划。E.每次维护后应提交维护记录报告，内容应包括：维护时间、人员、主要维护项目、发现的问题及处理措施、预防性建议等，报采购人审核并由双方确认存档。F.中标人应定期回顾维护记录，根据产品使用趋势对维护策略进行动态优化，提升产品运行稳定性和使用寿命。</w:t>
            </w:r>
          </w:p>
          <w:p>
            <w:pPr>
              <w:pStyle w:val="null3"/>
              <w:ind w:firstLine="420"/>
              <w:jc w:val="left"/>
            </w:pPr>
            <w:r>
              <w:rPr>
                <w:rFonts w:ascii="仿宋_GB2312" w:hAnsi="仿宋_GB2312" w:cs="仿宋_GB2312" w:eastAsia="仿宋_GB2312"/>
                <w:sz w:val="21"/>
              </w:rPr>
              <w:t>④维修服务要求：</w:t>
            </w:r>
          </w:p>
          <w:p>
            <w:pPr>
              <w:pStyle w:val="null3"/>
              <w:ind w:firstLine="420"/>
              <w:jc w:val="left"/>
            </w:pPr>
            <w:r>
              <w:rPr>
                <w:rFonts w:ascii="仿宋_GB2312" w:hAnsi="仿宋_GB2312" w:cs="仿宋_GB2312" w:eastAsia="仿宋_GB2312"/>
                <w:sz w:val="21"/>
              </w:rPr>
              <w:t>A.远程技术支持：质保期内，中标人应提供远程技术支持服务，支持电话、电子邮件、即时通讯工具及远程诊断连接等多种方式，并明确提供各渠道的具体联系方式，及时响应采购人在产品使用过程中遇到的技术问题。中标人应确保远程支持团队具备丰富的产品知识和故障诊断能力，能够快速定位问题并提供有效的解决方案，协助采购人进行故障排查及操作指导。对于紧急问题，中标人应及时升级处理优先级，确保远程支持高效、专业。</w:t>
            </w:r>
          </w:p>
          <w:p>
            <w:pPr>
              <w:pStyle w:val="null3"/>
              <w:ind w:firstLine="420"/>
              <w:jc w:val="left"/>
            </w:pPr>
            <w:r>
              <w:rPr>
                <w:rFonts w:ascii="仿宋_GB2312" w:hAnsi="仿宋_GB2312" w:cs="仿宋_GB2312" w:eastAsia="仿宋_GB2312"/>
                <w:sz w:val="21"/>
              </w:rPr>
              <w:t>B.现场维修服务要求：若远程技术支持无法解决设备故障，中标人应在接到故障通知后，按要求的响应时间内派遣资深专业技术人员到现场进行维修，确保设备尽快恢复正常运行。现场维修应包括故障诊断、故障排除、更换损坏零部件、产品性能测试及确认等全过程，维修工作应规范、细致，符合设备使用和安全标准。维修过程中，若是因设备自身原因或中标人原因，发现产品存在潜在风险或安全隐患，中标人应及时通知采购人，并提出防范和整改建议，经采购人审核并确认后，按照审核后的防范和整改建议进行修复。维修完成后，中标人应向采购人提交详细的维修报告，说明故障原因、处理措施及后续维护建议，并获得采购人确认。</w:t>
            </w:r>
          </w:p>
          <w:p>
            <w:pPr>
              <w:pStyle w:val="null3"/>
              <w:ind w:firstLine="420"/>
              <w:jc w:val="left"/>
            </w:pPr>
            <w:r>
              <w:rPr>
                <w:rFonts w:ascii="仿宋_GB2312" w:hAnsi="仿宋_GB2312" w:cs="仿宋_GB2312" w:eastAsia="仿宋_GB2312"/>
                <w:sz w:val="21"/>
              </w:rPr>
              <w:t>C.质量保证与持续改进：中标人应确保维修服务质量符合国家及行业相关标准，维修技术人员应具备相应资质和丰富经验。中标人应建立健全质量管理体系，对维修过程进行有效监督和控制，确保服务过程规范、高效。中标人应根据维修情况和采购人反馈，持续优化维修流程和服务内容，不断提升服务水平，保障设备长期稳定运行。中标人应定期总结维修服务数据，分析故障原因，提出预防措施和改进建议，协助采购人降低产品故障率。若产品在质保期内无法通过远程或常规维修手段恢复正常，中标人应派遣技术人员到现场进行维修，确保设备正常运行。</w:t>
            </w:r>
          </w:p>
          <w:p>
            <w:pPr>
              <w:pStyle w:val="null3"/>
              <w:ind w:firstLine="420"/>
              <w:jc w:val="left"/>
            </w:pPr>
            <w:r>
              <w:rPr>
                <w:rFonts w:ascii="仿宋_GB2312" w:hAnsi="仿宋_GB2312" w:cs="仿宋_GB2312" w:eastAsia="仿宋_GB2312"/>
                <w:sz w:val="21"/>
              </w:rPr>
              <w:t>★（10）投标人提供设备，需提供生产日期为6个月内（以到货日期为准，到货日期指本项目投标产品生产日期至送到供货地点的时间）的货物。</w:t>
            </w:r>
          </w:p>
          <w:p>
            <w:pPr>
              <w:pStyle w:val="null3"/>
              <w:jc w:val="left"/>
            </w:pPr>
            <w:r>
              <w:rPr>
                <w:rFonts w:ascii="仿宋_GB2312" w:hAnsi="仿宋_GB2312" w:cs="仿宋_GB2312" w:eastAsia="仿宋_GB2312"/>
                <w:sz w:val="21"/>
              </w:rPr>
              <w:t>★（11）招标文件中引用的政策法规、规范和技术标准等，在项目完成挂网后如有更新或与最新执行有冲突的一律按最新标准执行，采购文件不再另行变更。除招标文件另有规定外，若出现有关法律、法规和规章有强制性规定但采购文件未列明的情形，则评标委员会和投标人应按照有关法律、法规和规章强制性规定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自合同签订之日起90日（含安装调试时间）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四川轻化工大学李白河校区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尾款，全部货物安装调试完毕并验收合格，采购人接到中标人通知、中标人出具的合法、有效、完整的全额增值税专用发票后，达到付款条件起10个工作日内，据实情况为支付合同金额的 100% 。若遇采购人寒暑假、财务扎账、财政性资金结转等原因，付款时间可作适当顺延</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要求、中标（成交）供应商的投标（响应）文件及承诺与合同约定的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1.保修期≥3年（自验收合格之日起计算）。 2.中标人应保证提供的货物完全符合合同规定的质量、规格和性能要求。中标人应保证货物在正确安装、正常使用和保养条件下，在其使用寿命期内具备合同约定的性能。存在保修期的，货物最终交付验收合格后在采购文件规定的保修期或者中标人书面承诺（两者以较长的为准）的保修期内，本保证保持有效。 3.在保修期内所发现的缺陷，采购人应尽快以书面形式通知中标人。 4.中标人收到通知后，应在7日内以合理的速度免费维修或更换有缺陷的货物或部件。 5.在保修期内，如果货物的质量或规格与合同不符，或证实货物是有缺陷的，包括潜在的缺陷或使用不符合要求的材料等，采购人可以根据违约责任第一条规定以书面形式追究中标人的违约责任。 6.中标人在约定的时间内未能弥补缺陷，采购人可采取必要的补救措施，但其风险和费用将由中标人承担，采购人根据合同约定对中标人行使的其他权利不受影响。</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1.质量瑕疵的违约责任 中标人提供的产品不符合合同约定的质量标准或存在产品质量缺陷，采购人有权要求中标人及时修理、重作、更换，并承担由此给采购人造成的损失。修理、重作、更换的具体要求为： 1.1货物不符合约定的，采购人有权要求中标人在15日内免费修理、更换或重作，并承担因此产生的费用及损失。 1.2 逾期未完成整改的，采购人可解除合同，并要求中标人赔偿直接损失。 2.迟延交货的违约责任 2.1.中标人应按照本合同规定的时间、地点交货和提供相关服务。在履行合同过程中，如果中标人遇到可能影响按时交货和提供服务的情形时，应及时以书面形式将迟延的事实、可能迟延的期限和理由通知采购人。采购人在收到中标人通知后，应尽快对情况进行评价，并确定是否同意延长交货时间或延期提供服务。 2.2.如果中标人没有按照合同规定的时间交货和提供相关服务，采购人有权从货款中扣除误期赔偿费而不影响合同项下的其他补救方法，赔偿费的计算方法为：未经同意逾期交货的，中标人按日支付逾期交货部分货款万分之三的违约金，累计总额不超过该部分货款的10%；逾期超过30日，采购人有权解除合同，中标人应退还全部已收款，并支付合同总价10%的违约金。 3.权利瑕疵责任 如货物存在知识产权等权利瑕疵导致采购人无法使用或被追责，中标人应退还全部款项，支付合同总价10%违约金，并赔偿采购人全部实际损失（包括律师费、行政处罚等）。 4.迟延支付的违约责任 采购人存在迟延支付中标人合同款项的，应当支付逾期付款利息，计算方法为：采购人应在验收合格后30日内完成付款，最迟不得超过60日。中标人应在采购人付款前向采购人开具合法有效的增值税专用发票，因中标人未及时提供发票导致付款延迟的，采购人不承担违约责任。采购人逾期付款的，应自逾期之日起，按日向中标人支付逾期付款金额万分之三的违约金，违约金总额不超过逾期付款金额的10%。 5.违法分包、转包的违约责任 中标人将项目转包、违法分包的，采购人可以解除合同，并要求中标人承担如下违约责任： 5.1退还采购人已支付的全部款项； 5.2支付合同总价15%的违约金； 5.3赔偿采购人因此遭受的实际损失（包括但不限于重新采购费用、审计整改成本、第三方索赔及律师费）。 6.因本合同及合同有关事项发生的争议，由采购人和中标人双方友好协商解决。协商不成时，可以向有关组织申请调解。合同一方或双方不愿调解或调解不成的，可以通过仲裁或诉讼的方式解决争议。 7.选择仲裁的，应在采购人所在地仲裁机构及仲裁地；通过诉讼方式解决的，向采购人所在地人民法院提请诉讼，但管辖法院的约定不得违反级别管辖和专属管辖的规定。 8.如采购人和中标人双方有争议的事项不影响合同其他部分的履行，在争议解决期间，合同其他部分应当继续履行。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1.不存在投标文件的语言、计量单位、知识产权、响应有效期、投标报价等不符合采购文件的规定，影响评审小组评判的。 2.在应答表中对技术要求、服务要求、其他要求中的实质性要求逐项进行完整应答的，或不存在应答内容与采购文件要求不符的，或不存在按要求提供相应的证明材料或单独承诺函等支撑材料的。 3.不存在未载明或者载明的采购项目履约时间、方式、数量及其他政府采购合同实质性内容与本采购文件要求不一致，且采购单位无法接受的。 4. 不存在属于采购文件中无效响应情形的。</w:t>
            </w:r>
          </w:p>
        </w:tc>
        <w:tc>
          <w:tcPr>
            <w:tcW w:type="dxa" w:w="1661"/>
          </w:tcPr>
          <w:p>
            <w:pPr>
              <w:pStyle w:val="null3"/>
              <w:jc w:val="left"/>
            </w:pPr>
            <w:r>
              <w:rPr>
                <w:rFonts w:ascii="仿宋_GB2312" w:hAnsi="仿宋_GB2312" w:cs="仿宋_GB2312" w:eastAsia="仿宋_GB2312"/>
              </w:rPr>
              <w:t>产品技术参数响应表,报价明细表,（公开）需要投标人进行承诺的实质性要求的承诺函.docx,服务应答表,报价表,投标（响应）函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供应商对采购文件的技术参数进行逐条响应，完全响应、没有负偏离得 48 分。 响应文件与采购文件技术参数与性能指标有负偏离的，按以下方式计算得分： 1、一般条款得分=（供应商满足一般条款的数量÷一般条款的总数量（18条）×18分；2、“▲”条款得分=（供应商满足“▲”条款的数量÷“▲”条款的总数量（13条）×30分；3、供应商此项得分=一般条款得分＋“▲”条款得分。注：本项所述的条款数量按以下原则计算：（1）无子项的条款：以每项条款为1项进行计算；（2）有子项的条款：以最末级的子项为1项进行计算。（1、“▲”条款参数中有明确要求的按要求提供相关证明材料，未作要求的，提供相对应产品宣传彩页或产品图册或检测（验）报告，未按要求提供相关证明材料或虽提供但无法证明的，则视为负偏离。2.非“▲”条款参数中有明确要求的按要求提供相关证明材料。3.“★”条款不参与计分,一般条款为未标注“▲”、“★”符号的条款。4.在计算中如遇除不尽的情况保留二位小数。） 5.以供应商提供的产品技术参数响应表为依据。</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根据投标人针对本项目制定的实施方案进行综合评分，包含以下内容：  1、供货方案；  2、项目整体进度计划方案；  3、安全保障方案；  4、安装调试方案； 5、产品质量保障方案； 6、应急方案。 （1）以上6项内容，每提供一项得 2分，最多得 12 分；（2）以上内容中每有一处脱离实际或缺陷或错误等因素的扣 1分，扣完为止。 注：符合本次采购项目的采购需求，且方案内容不存在脱离实际或缺陷或错误等因素是指不存在以下任何一种情形或多种情形：1）本项目提供的方案中引用法律、规范、标准存在失效或错误；2）非专门针对本项目编制或方案内容与本项目需求无关或方案未与采购需求对应或不满足采购需求；3）方案内容未结合本项目的具体需求，直接照搬招标文件中的文字表述，缺乏深化阐述与实施转化。4）方案过于简略：仅有标题或框架或内容停留在概念层面，缺乏量化指标或具体实施标准或操作细则。</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售后服务方案及售后服务能力</w:t>
            </w:r>
          </w:p>
        </w:tc>
        <w:tc>
          <w:tcPr>
            <w:tcW w:type="dxa" w:w="2575"/>
          </w:tcPr>
          <w:p>
            <w:pPr>
              <w:pStyle w:val="null3"/>
              <w:jc w:val="left"/>
            </w:pPr>
            <w:r>
              <w:rPr>
                <w:rFonts w:ascii="仿宋_GB2312" w:hAnsi="仿宋_GB2312" w:cs="仿宋_GB2312" w:eastAsia="仿宋_GB2312"/>
              </w:rPr>
              <w:t>根据投标人针对本项目制定的售后服务方案进行综合评分，包含以下内容： 1、现场维修方案。 2、售后服务管理方案。 3、培训方案。 4、日常维护方案。 （1）以上 4项内容，每提供一项得 2分，最多得 8 分；（2）以上内容中每有一处脱离实际或缺陷或错误等因素的扣 1 分，扣完为止。 注：符合本次采购项目的采购需求，且方案内容不存在脱离实际或缺陷或错误等因素是指不存在以下任何一种情形或多种情形：1）本项目提供的方案中引用法律、规范、标准存在失效或错误；2）非专门针对本项目编制或方案内容与本项目需求无关或方案未与采购需求对应或不满足采购需求；3）方案内容未结合本项目的具体需求，直接照搬招标文件中的文字表述，缺乏深化阐述与实施转化。4）方案过于简略：仅有标题或框架或内容停留在概念层面，缺乏量化指标或具体实施标准或操作细则。</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供应商提供2023年1月1日（含）起至投标（响应）文件提交截止时间前（以合同签订时间为准）的类似本项目合同业绩，每提供一个得1分，最多得 2 分，未提供不得分。 注:投标（响应）时提供合同全本影印件并加盖供应商公章。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满足招标文件要求且投标价格最低的投标报价作为基准价，其价格分为满分，投标报价得分=(基准价／投标报价)×30分。 注：保留小数点后两位。以投标人提供的报价表为依据。</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本项目对响应产品全部属于小型和微型企业制造的，供应商的响应报价给予相应百分比的扣除，用扣除后的价格参与评审。残疾人福利性单位、监狱企业视同小型、微型企业，享受同等价格扣除，但同时属于残疾人福利性单位、监狱企业和小微企业的，不重复价格扣除。</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评分标准需提供的相关资料(公开招标）.docx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详见附件：（公开）需要投标人进行承诺的实质性要求的承诺函.docx</w:t>
      </w:r>
    </w:p>
    <w:p>
      <w:pPr>
        <w:pStyle w:val="null3"/>
        <w:ind w:firstLine="960"/>
        <w:jc w:val="left"/>
      </w:pPr>
      <w:r>
        <w:rPr>
          <w:rFonts w:ascii="仿宋_GB2312" w:hAnsi="仿宋_GB2312" w:cs="仿宋_GB2312" w:eastAsia="仿宋_GB2312"/>
        </w:rPr>
        <w:t>详见附件：评分标准需提供的相关资料(公开招标）.docx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